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6F86" w:rsidRDefault="00000000">
      <w:pPr>
        <w:shd w:val="clear" w:color="auto" w:fill="FFFFFF"/>
        <w:rPr>
          <w:rFonts w:eastAsia="Calibri"/>
          <w:highlight w:val="white"/>
        </w:rPr>
      </w:pPr>
      <w:r>
        <w:rPr>
          <w:b/>
          <w:highlight w:val="white"/>
        </w:rPr>
        <w:t xml:space="preserve">Команда підтримки відновлення та реформ при Міністерстві захисту довкілля та природних  ресурсів України шукає Експерта/ку з </w:t>
      </w:r>
      <w:proofErr w:type="spellStart"/>
      <w:r>
        <w:rPr>
          <w:b/>
          <w:highlight w:val="white"/>
        </w:rPr>
        <w:t>адвокації</w:t>
      </w:r>
      <w:proofErr w:type="spellEnd"/>
      <w:r>
        <w:rPr>
          <w:b/>
          <w:highlight w:val="white"/>
        </w:rPr>
        <w:t xml:space="preserve"> реформ та медіа співпраці.</w:t>
      </w:r>
    </w:p>
    <w:p w14:paraId="00000002" w14:textId="77777777" w:rsidR="004C6F86" w:rsidRDefault="00000000">
      <w:pPr>
        <w:jc w:val="both"/>
      </w:pPr>
      <w:r>
        <w:t>Команда підтримки відновлення та реформ (КПР) при Міністерстві захисту довкілля та природних ресурсів України (</w:t>
      </w:r>
      <w:proofErr w:type="spellStart"/>
      <w:r>
        <w:t>Міндовкілля</w:t>
      </w:r>
      <w:proofErr w:type="spellEnd"/>
      <w:r>
        <w:t xml:space="preserve">) надає цільову технічну підтримку та допомагає </w:t>
      </w:r>
      <w:proofErr w:type="spellStart"/>
      <w:r>
        <w:t>Міндовкілля</w:t>
      </w:r>
      <w:proofErr w:type="spellEnd"/>
      <w:r>
        <w:t xml:space="preserve"> у розробці та впровадженні пріоритетів відновлення та реформ, заповнюючи прогалини у спроможності розробляти та впроваджувати пріоритетні стратегії та програми реформ, зміцнюючи зв'язки та партнерство між </w:t>
      </w:r>
      <w:proofErr w:type="spellStart"/>
      <w:r>
        <w:t>Міндовкілля</w:t>
      </w:r>
      <w:proofErr w:type="spellEnd"/>
      <w:r>
        <w:t xml:space="preserve"> та відповідною донорською підтримкою. Експерти КПР допомагають </w:t>
      </w:r>
      <w:proofErr w:type="spellStart"/>
      <w:r>
        <w:t>Міндовкілля</w:t>
      </w:r>
      <w:proofErr w:type="spellEnd"/>
      <w:r>
        <w:t xml:space="preserve"> у забезпеченні координації та взаємодоповнюваності між КПР та іншими відповідними </w:t>
      </w:r>
      <w:proofErr w:type="spellStart"/>
      <w:r>
        <w:t>проєктами</w:t>
      </w:r>
      <w:proofErr w:type="spellEnd"/>
      <w:r>
        <w:t xml:space="preserve"> технічної допомоги.</w:t>
      </w:r>
    </w:p>
    <w:p w14:paraId="00000003" w14:textId="77777777" w:rsidR="004C6F86" w:rsidRDefault="00000000">
      <w:pPr>
        <w:jc w:val="both"/>
      </w:pPr>
      <w:r>
        <w:t xml:space="preserve">Ефективна комунікація має першочергове значення для просування позитивних змін у динамічному середовищі пріоритетних екологічних реформ та відновлення довкілля. Ми шукаємо кваліфікованого експерта з </w:t>
      </w:r>
      <w:proofErr w:type="spellStart"/>
      <w:r>
        <w:t>адвокації</w:t>
      </w:r>
      <w:proofErr w:type="spellEnd"/>
      <w:r>
        <w:t xml:space="preserve"> реформ та медіа співпраці, який відіграватиме важливу роль у формуванні та впровадженні комунікаційних стратегій </w:t>
      </w:r>
      <w:proofErr w:type="spellStart"/>
      <w:r>
        <w:t>Міндовкілля</w:t>
      </w:r>
      <w:proofErr w:type="spellEnd"/>
      <w:r>
        <w:t xml:space="preserve"> та його ініціатив з реформування та відновлення довкілля.</w:t>
      </w:r>
    </w:p>
    <w:p w14:paraId="00000004" w14:textId="77777777" w:rsidR="004C6F86" w:rsidRDefault="00000000">
      <w:pPr>
        <w:jc w:val="both"/>
      </w:pPr>
      <w:r>
        <w:t>Ключовими пріоритетами реформування Міністерства, відповідно до Плану пріоритетних дій Уряду, є</w:t>
      </w:r>
    </w:p>
    <w:p w14:paraId="00000005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 xml:space="preserve">Реформа системи екологічного контролю та оцінки (ОВД та СЕО); </w:t>
      </w:r>
    </w:p>
    <w:p w14:paraId="00000006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 xml:space="preserve">Реформа зменшення промислового забруднення та моніторингу довкілля; </w:t>
      </w:r>
    </w:p>
    <w:p w14:paraId="00000007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>Реформа управління відходами;</w:t>
      </w:r>
    </w:p>
    <w:p w14:paraId="00000008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>Охорона водних ресурсів;</w:t>
      </w:r>
    </w:p>
    <w:p w14:paraId="00000009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>Реалізація кліматичної політики;</w:t>
      </w:r>
    </w:p>
    <w:p w14:paraId="0000000A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 xml:space="preserve">Реформа </w:t>
      </w:r>
      <w:proofErr w:type="spellStart"/>
      <w:r>
        <w:t>надрокористування</w:t>
      </w:r>
      <w:proofErr w:type="spellEnd"/>
      <w:r>
        <w:t>;</w:t>
      </w:r>
    </w:p>
    <w:p w14:paraId="0000000B" w14:textId="77777777" w:rsidR="004C6F86" w:rsidRDefault="00000000">
      <w:pPr>
        <w:numPr>
          <w:ilvl w:val="0"/>
          <w:numId w:val="1"/>
        </w:numPr>
        <w:spacing w:after="0"/>
        <w:jc w:val="both"/>
      </w:pPr>
      <w:r>
        <w:t>Реформа державного управління;</w:t>
      </w:r>
    </w:p>
    <w:p w14:paraId="0000000C" w14:textId="77777777" w:rsidR="004C6F86" w:rsidRDefault="00000000">
      <w:pPr>
        <w:numPr>
          <w:ilvl w:val="0"/>
          <w:numId w:val="1"/>
        </w:numPr>
        <w:jc w:val="both"/>
      </w:pPr>
      <w:r>
        <w:t>Збереження біорізноманіття.</w:t>
      </w:r>
    </w:p>
    <w:p w14:paraId="0000000D" w14:textId="77777777" w:rsidR="004C6F86" w:rsidRDefault="00000000">
      <w:pPr>
        <w:spacing w:after="0"/>
        <w:jc w:val="both"/>
      </w:pPr>
      <w:r>
        <w:t xml:space="preserve">Ми продовжуємо конкурс на посаду </w:t>
      </w:r>
      <w:r>
        <w:rPr>
          <w:highlight w:val="white"/>
        </w:rPr>
        <w:t xml:space="preserve">Експерта з </w:t>
      </w:r>
      <w:proofErr w:type="spellStart"/>
      <w:r>
        <w:rPr>
          <w:highlight w:val="white"/>
        </w:rPr>
        <w:t>адвокації</w:t>
      </w:r>
      <w:proofErr w:type="spellEnd"/>
      <w:r>
        <w:rPr>
          <w:highlight w:val="white"/>
        </w:rPr>
        <w:t xml:space="preserve"> реформ та медіа співпраці</w:t>
      </w:r>
      <w:r>
        <w:t>.</w:t>
      </w:r>
    </w:p>
    <w:p w14:paraId="0000000E" w14:textId="77777777" w:rsidR="004C6F86" w:rsidRDefault="004C6F86">
      <w:pPr>
        <w:spacing w:after="0"/>
        <w:jc w:val="both"/>
        <w:rPr>
          <w:rFonts w:eastAsia="Calibri"/>
        </w:rPr>
      </w:pPr>
    </w:p>
    <w:p w14:paraId="0000000F" w14:textId="77777777" w:rsidR="004C6F86" w:rsidRDefault="00000000">
      <w:pPr>
        <w:shd w:val="clear" w:color="auto" w:fill="FFFFFF"/>
        <w:tabs>
          <w:tab w:val="left" w:pos="1985"/>
        </w:tabs>
        <w:spacing w:after="0" w:line="240" w:lineRule="auto"/>
        <w:jc w:val="both"/>
      </w:pPr>
      <w:r>
        <w:t xml:space="preserve">Основними обов'язками та відповідальністю </w:t>
      </w:r>
      <w:r>
        <w:rPr>
          <w:highlight w:val="white"/>
        </w:rPr>
        <w:t xml:space="preserve">Експерта з </w:t>
      </w:r>
      <w:proofErr w:type="spellStart"/>
      <w:r>
        <w:rPr>
          <w:highlight w:val="white"/>
        </w:rPr>
        <w:t>адвокації</w:t>
      </w:r>
      <w:proofErr w:type="spellEnd"/>
      <w:r>
        <w:rPr>
          <w:highlight w:val="white"/>
        </w:rPr>
        <w:t xml:space="preserve"> реформ та медіа співпраці будуть</w:t>
      </w:r>
      <w:r>
        <w:t>:</w:t>
      </w:r>
    </w:p>
    <w:p w14:paraId="00000010" w14:textId="77777777" w:rsidR="004C6F86" w:rsidRDefault="004C6F86">
      <w:pPr>
        <w:shd w:val="clear" w:color="auto" w:fill="FFFFFF"/>
        <w:tabs>
          <w:tab w:val="left" w:pos="1985"/>
        </w:tabs>
        <w:spacing w:after="0" w:line="240" w:lineRule="auto"/>
        <w:jc w:val="both"/>
      </w:pPr>
    </w:p>
    <w:p w14:paraId="00000011" w14:textId="77777777" w:rsidR="004C6F86" w:rsidRDefault="000000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Fonts w:eastAsia="Calibri"/>
        </w:rPr>
      </w:pPr>
      <w:r>
        <w:t xml:space="preserve">Підтримка у розробці та впровадженні стратегічних </w:t>
      </w:r>
      <w:proofErr w:type="spellStart"/>
      <w:r>
        <w:t>адвокаційних</w:t>
      </w:r>
      <w:proofErr w:type="spellEnd"/>
      <w:r>
        <w:t xml:space="preserve"> кампаній для підвищення обізнаності про пріоритетні реформи та ініціативи з відновлення під керівництвом </w:t>
      </w:r>
      <w:proofErr w:type="spellStart"/>
      <w:r>
        <w:t>Міндовкілля</w:t>
      </w:r>
      <w:proofErr w:type="spellEnd"/>
      <w:r>
        <w:t>.</w:t>
      </w:r>
    </w:p>
    <w:p w14:paraId="00000012" w14:textId="77777777" w:rsidR="004C6F86" w:rsidRDefault="000000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Fonts w:eastAsia="Calibri"/>
        </w:rPr>
      </w:pPr>
      <w:r>
        <w:t>Співпраця із зацікавленими сторонами та партнерами для підтримки висвітлення екологічної шкоди, завданої війною, ініціатив з відновлення та пріоритетних реформ.</w:t>
      </w:r>
    </w:p>
    <w:p w14:paraId="00000013" w14:textId="77777777" w:rsidR="004C6F86" w:rsidRDefault="000000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Fonts w:eastAsia="Calibri"/>
        </w:rPr>
      </w:pPr>
      <w:r>
        <w:t>Розвивати та підтримувати міцні відносини з національними та міжнародними ЗМІ, сприяти проведенню інтерв'ю, коментарів та прес-брифінгів для посилення висвітлення реформ у сфері захисту довкілля та процесу відновлення.</w:t>
      </w:r>
    </w:p>
    <w:p w14:paraId="00000014" w14:textId="77777777" w:rsidR="004C6F86" w:rsidRDefault="000000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Fonts w:eastAsia="Calibri"/>
        </w:rPr>
      </w:pPr>
      <w:r>
        <w:t>Розробка комунікаційних матеріалів, включаючи прес-релізи, публіцистичні статті, мультимедійний контент, та їх розповсюдження через різні платформи, зокрема, веб-сайти, соціальні мережі тощо.</w:t>
      </w:r>
    </w:p>
    <w:p w14:paraId="00000015" w14:textId="77777777" w:rsidR="004C6F86" w:rsidRDefault="000000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Fonts w:eastAsia="Calibri"/>
        </w:rPr>
      </w:pPr>
      <w:r>
        <w:t>Підтримка в організації та координації заходів, забезпечення комунікації та залучення представників ЗМІ для інформаційного висвітлення реформ та ініціатив з відновлення довкілля.</w:t>
      </w:r>
    </w:p>
    <w:p w14:paraId="00000016" w14:textId="77777777" w:rsidR="004C6F86" w:rsidRDefault="00000000">
      <w:pPr>
        <w:spacing w:after="0" w:line="259" w:lineRule="auto"/>
        <w:ind w:left="720"/>
        <w:rPr>
          <w:rFonts w:eastAsia="Calibri"/>
        </w:rPr>
      </w:pPr>
      <w:r>
        <w:rPr>
          <w:rFonts w:eastAsia="Calibri"/>
        </w:rPr>
        <w:t xml:space="preserve"> </w:t>
      </w:r>
    </w:p>
    <w:p w14:paraId="00000017" w14:textId="77777777" w:rsidR="004C6F86" w:rsidRDefault="00000000">
      <w:pPr>
        <w:shd w:val="clear" w:color="auto" w:fill="FFFFFF"/>
        <w:tabs>
          <w:tab w:val="left" w:pos="1985"/>
        </w:tabs>
        <w:spacing w:after="0" w:line="240" w:lineRule="auto"/>
        <w:jc w:val="both"/>
      </w:pPr>
      <w:r>
        <w:lastRenderedPageBreak/>
        <w:t>Зацікавлені фахівці запрошуються до подачі заявок.</w:t>
      </w:r>
    </w:p>
    <w:p w14:paraId="00000018" w14:textId="77777777" w:rsidR="004C6F86" w:rsidRDefault="004C6F86">
      <w:pPr>
        <w:shd w:val="clear" w:color="auto" w:fill="FFFFFF"/>
        <w:tabs>
          <w:tab w:val="left" w:pos="1985"/>
        </w:tabs>
        <w:spacing w:after="0" w:line="240" w:lineRule="auto"/>
        <w:jc w:val="both"/>
      </w:pPr>
    </w:p>
    <w:p w14:paraId="00000019" w14:textId="77777777" w:rsidR="004C6F8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Очікується, що консультаційні контракти </w:t>
      </w:r>
      <w:proofErr w:type="spellStart"/>
      <w:r>
        <w:t>розпочнуться</w:t>
      </w:r>
      <w:proofErr w:type="spellEnd"/>
      <w:r>
        <w:t xml:space="preserve"> у квітні 2024 року та триватимуть 17 місяців. Продовження тривалості контракту </w:t>
      </w:r>
      <w:proofErr w:type="spellStart"/>
      <w:r>
        <w:t>залежатиме</w:t>
      </w:r>
      <w:proofErr w:type="spellEnd"/>
      <w:r>
        <w:t xml:space="preserve"> від наявності фінансування, потреб програми URA та результатів роботи обраного консультанта. Випробувальний термін становить два місяці.</w:t>
      </w:r>
    </w:p>
    <w:p w14:paraId="0000001A" w14:textId="77777777" w:rsidR="004C6F86" w:rsidRDefault="00000000">
      <w:pPr>
        <w:spacing w:line="240" w:lineRule="auto"/>
        <w:jc w:val="both"/>
      </w:pPr>
      <w:r>
        <w:t xml:space="preserve">Потенційні кандидати повинні надіслати повний пакет документів, підготовлений англійською мовою (аплікаційна форма, форма NDA, резюме кандидата та рекомендаційний лист від нещодавнього керівника (оригінал англійською мовою або українською мовою з перекладом на англійську) разом з контактними даними двох інших референтів, які, у разі необхідності, можуть підтвердити професійний та/або освітній рівень кандидата) до 31 березня 2024 року, 23:59 (за київським часом) на електронну адресу: rst.mepr@gmail.com. Кандидати, які </w:t>
      </w:r>
      <w:proofErr w:type="spellStart"/>
      <w:r>
        <w:t>подадуть</w:t>
      </w:r>
      <w:proofErr w:type="spellEnd"/>
      <w:r>
        <w:t xml:space="preserve"> неповний пакет документів, не будуть розглянуті. </w:t>
      </w:r>
    </w:p>
    <w:p w14:paraId="0000001B" w14:textId="77777777" w:rsidR="004C6F86" w:rsidRDefault="00000000">
      <w:pPr>
        <w:spacing w:line="240" w:lineRule="auto"/>
        <w:jc w:val="both"/>
      </w:pPr>
      <w:r>
        <w:t xml:space="preserve">Кандидати, які пройдуть відбір, будуть запрошені на письмовий тест та співбесіду. </w:t>
      </w:r>
    </w:p>
    <w:p w14:paraId="0000001C" w14:textId="77777777" w:rsidR="004C6F86" w:rsidRDefault="00000000">
      <w:pPr>
        <w:spacing w:line="240" w:lineRule="auto"/>
        <w:jc w:val="both"/>
      </w:pPr>
      <w:r>
        <w:t>З детальним технічним завданням можна ознайомитися нижче.</w:t>
      </w:r>
    </w:p>
    <w:p w14:paraId="0000001D" w14:textId="77777777" w:rsidR="004C6F86" w:rsidRDefault="004C6F86"/>
    <w:p w14:paraId="0000001E" w14:textId="77777777" w:rsidR="004C6F86" w:rsidRDefault="004C6F86"/>
    <w:p w14:paraId="0000001F" w14:textId="77777777" w:rsidR="004C6F86" w:rsidRDefault="004C6F86">
      <w:pPr>
        <w:spacing w:after="0" w:line="240" w:lineRule="auto"/>
        <w:ind w:right="-90"/>
      </w:pPr>
    </w:p>
    <w:p w14:paraId="00000020" w14:textId="77777777" w:rsidR="004C6F86" w:rsidRDefault="004C6F86">
      <w:pPr>
        <w:tabs>
          <w:tab w:val="left" w:pos="709"/>
        </w:tabs>
        <w:spacing w:after="0" w:line="240" w:lineRule="auto"/>
        <w:rPr>
          <w:b/>
          <w:color w:val="000000"/>
        </w:rPr>
      </w:pPr>
    </w:p>
    <w:p w14:paraId="00000021" w14:textId="77777777" w:rsidR="004C6F86" w:rsidRDefault="004C6F86"/>
    <w:sectPr w:rsidR="004C6F86">
      <w:pgSz w:w="11906" w:h="16838"/>
      <w:pgMar w:top="1411" w:right="1411" w:bottom="1411" w:left="1411" w:header="706" w:footer="706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87"/>
    <w:multiLevelType w:val="multilevel"/>
    <w:tmpl w:val="AFBA2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061650"/>
    <w:multiLevelType w:val="multilevel"/>
    <w:tmpl w:val="69820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0E641B"/>
    <w:multiLevelType w:val="multilevel"/>
    <w:tmpl w:val="355EC982"/>
    <w:lvl w:ilvl="0">
      <w:start w:val="1"/>
      <w:numFmt w:val="decimal"/>
      <w:pStyle w:val="PuceGr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7827212">
    <w:abstractNumId w:val="1"/>
  </w:num>
  <w:num w:numId="2" w16cid:durableId="296884680">
    <w:abstractNumId w:val="0"/>
  </w:num>
  <w:num w:numId="3" w16cid:durableId="7281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86"/>
    <w:rsid w:val="003867D9"/>
    <w:rsid w:val="004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62D1613A-BF49-7245-8627-8B4EA8FB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7C"/>
    <w:rPr>
      <w:rFonts w:eastAsiaTheme="minorEastAsia"/>
      <w:lang w:eastAsia="uk-U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F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7C"/>
  </w:style>
  <w:style w:type="paragraph" w:styleId="Footer">
    <w:name w:val="footer"/>
    <w:basedOn w:val="Normal"/>
    <w:link w:val="FooterChar"/>
    <w:uiPriority w:val="99"/>
    <w:unhideWhenUsed/>
    <w:rsid w:val="005F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7C"/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5F637C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5F637C"/>
    <w:rPr>
      <w:rFonts w:eastAsiaTheme="minorEastAsia"/>
      <w:lang w:eastAsia="uk-UA"/>
    </w:rPr>
  </w:style>
  <w:style w:type="paragraph" w:customStyle="1" w:styleId="Normale-n-ind">
    <w:name w:val="Normale-n-ind"/>
    <w:rsid w:val="005F637C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paragraph" w:customStyle="1" w:styleId="normaltableau">
    <w:name w:val="normal_tableau"/>
    <w:basedOn w:val="Normal"/>
    <w:rsid w:val="002F0B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2F0B0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2F0B01"/>
    <w:pPr>
      <w:numPr>
        <w:numId w:val="3"/>
      </w:numPr>
      <w:tabs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table" w:styleId="TableGrid">
    <w:name w:val="Table Grid"/>
    <w:basedOn w:val="TableNormal"/>
    <w:uiPriority w:val="39"/>
    <w:rsid w:val="00C9283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9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CBB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F1662D"/>
    <w:rPr>
      <w:vertAlign w:val="superscript"/>
    </w:rPr>
  </w:style>
  <w:style w:type="paragraph" w:customStyle="1" w:styleId="Default">
    <w:name w:val="Default"/>
    <w:rsid w:val="00F16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2msZfMlIdZ0qQjZQquWxfImow==">CgMxLjA4AHIhMWtmU19ucXd4YUVGM0piS3lydjlwYzUxR25HTDBBZVJt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Anikeeva, Yuliya</dc:creator>
  <cp:lastModifiedBy>Serhii Dykyi (2207505)</cp:lastModifiedBy>
  <cp:revision>1</cp:revision>
  <dcterms:created xsi:type="dcterms:W3CDTF">2023-05-04T05:51:00Z</dcterms:created>
  <dcterms:modified xsi:type="dcterms:W3CDTF">2024-03-15T10:48:00Z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37bbd4c1-49fe-4e95-8bf3-6e3b27f4fd14</vt:lpwstr>
  </property>
  <property fmtid="{D5CDD505-2E9C-101B-9397-08002B2CF9AE}" pid="3" name="bjSaver">
    <vt:lpwstr>jNVazOmbWstbFCE5y2QVOLvhavx6YHsz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NON-BANK USE</vt:lpwstr>
  </property>
</Properties>
</file>