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Команда підтримки відновлення та реформ при Міністерстві захисту довкілля та природних  ресурсів України шукає Експерта/ку з зеленого відновлення.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Команда підтримки відновлення та реформ (КПР) при Міністерстві захисту довкілля та природних ресурсів України (Міндовкілля) надає цільову технічну підтримку та допомагає Міндовкілля у розробці та впровадженні пріоритетів відновлення та реформ, заповнюючи прогалини у спроможності розробляти та впроваджувати пріоритетні стратегії та програми реформ, зміцнюючи зв'язки та партнерство між Міндовкілля та відповідною донорською підтримкою. Експерти КПР допомагають Міндовкілля у забезпеченні координації та взаємодоповнюваності між КПР та іншими відповідними проєктами технічної допомоги.</w:t>
      </w:r>
    </w:p>
    <w:p w:rsidR="00000000" w:rsidDel="00000000" w:rsidP="00000000" w:rsidRDefault="00000000" w:rsidRPr="00000000" w14:paraId="00000003">
      <w:pPr>
        <w:spacing w:after="0" w:lineRule="auto"/>
        <w:jc w:val="both"/>
        <w:rPr/>
      </w:pPr>
      <w:r w:rsidDel="00000000" w:rsidR="00000000" w:rsidRPr="00000000">
        <w:rPr>
          <w:rtl w:val="0"/>
        </w:rPr>
        <w:t xml:space="preserve">Природне середовище України зазнало значної шкоди внаслідок війни, що триває. Експерт з зеленого відновлення підтримуватиме процеси відновлення довкілля, забезпечуватиме включення зелених принципів у плани відновлення України та їхню реалізацію, а також сприятиме прискоренню узгодження з Європейським зеленим курсом.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tabs>
          <w:tab w:val="left" w:leader="none" w:pos="1985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Основними обов'язками та відповідальністю </w:t>
      </w:r>
      <w:r w:rsidDel="00000000" w:rsidR="00000000" w:rsidRPr="00000000">
        <w:rPr>
          <w:highlight w:val="white"/>
          <w:rtl w:val="0"/>
        </w:rPr>
        <w:t xml:space="preserve">Експерта з зеленого відновлення будуть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6">
      <w:pPr>
        <w:shd w:fill="ffffff" w:val="clear"/>
        <w:tabs>
          <w:tab w:val="left" w:leader="none" w:pos="1985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tabs>
          <w:tab w:val="left" w:leader="none" w:pos="1985"/>
        </w:tabs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Розробка та підтримка у впровадженні компонентів реформ, необхідних для "зеленого" відновлення та "зеленого" переходу, тобто підтримка у розробці/реалізації Ukraine Facility в межах повноважень Міндовкілля, сприяння включенню "зелених" критеріїв до планів відновлення, рекомендацій щодо відновлення територій та екосистем, тощо;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tabs>
          <w:tab w:val="left" w:leader="none" w:pos="1985"/>
        </w:tabs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Розробка методичних рекомендацій щодо включення кліматичної складової до програм комплексного відновлення та інших документів державного та/або місцевого планування;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tabs>
          <w:tab w:val="left" w:leader="none" w:pos="1985"/>
        </w:tabs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Консультаційна, аналітична та експертна підтримка Міністерства з метою забезпечення відповідності документів (стратегій, планів, компонентів, нормативно-правових актів тощо) та заходів з відновлення довкілля процесу вступу до ЄС та принципам Європейського зеленого курсу;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tabs>
          <w:tab w:val="left" w:leader="none" w:pos="1985"/>
        </w:tabs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Підтримка заходів із залучення зацікавлених сторін (наприклад, публічних заходів, семінарів, тренінгів тощо) з метою сприяння та просування дискусій з ключових тем та пропозицій політик, а також підвищення обізнаності щодо важливості, цілей, викликів, політик, пов'язаних із зеленим відновленням/зеленим переходом;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tabs>
          <w:tab w:val="left" w:leader="none" w:pos="1985"/>
        </w:tabs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Надання підтримки Міністерству в координації робочих груп, пов'язаних із зеленим відновленням та зеленим переходом;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tabs>
          <w:tab w:val="left" w:leader="none" w:pos="1985"/>
        </w:tabs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Підготовка, систематизація та оновлення інформації щодо проектів зеленого відновлення;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tabs>
          <w:tab w:val="left" w:leader="none" w:pos="1985"/>
        </w:tabs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Підготовка своєчасних та якісних звітів та оновлень щодо прогресу в питаннях зеленого відновлення/зеленого переходу;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tabs>
          <w:tab w:val="left" w:leader="none" w:pos="1985"/>
        </w:tabs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Підтримка Міністерства у перекладі документів, пов'язаних з відновленням.</w:t>
      </w:r>
    </w:p>
    <w:p w:rsidR="00000000" w:rsidDel="00000000" w:rsidP="00000000" w:rsidRDefault="00000000" w:rsidRPr="00000000" w14:paraId="0000000F">
      <w:pPr>
        <w:spacing w:after="0" w:line="259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tabs>
          <w:tab w:val="left" w:leader="none" w:pos="1985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Зацікавлені фахівці запрошуються до подачі заявок.</w:t>
      </w:r>
    </w:p>
    <w:p w:rsidR="00000000" w:rsidDel="00000000" w:rsidP="00000000" w:rsidRDefault="00000000" w:rsidRPr="00000000" w14:paraId="00000011">
      <w:pPr>
        <w:shd w:fill="ffffff" w:val="clear"/>
        <w:tabs>
          <w:tab w:val="left" w:leader="none" w:pos="1985"/>
        </w:tabs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Очікується, що консультаційні контракти розпочнуться у травні 2024 року та триватимуть 15 місяців. Продовження тривалості контракту залежатиме від наявності фінансування, потреб програми URA та результатів роботи обраного консультанта. Випробувальний термін становить два місяці.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Потенційні кандидати повинні надіслати повний пакет документів, підготовлений англійською мовою (аплікаційна форма, форма NDA, резюме кандидата та рекомендаційний лист від нещодавнього керівника (оригінал англійською мовою або українською мовою з перекладом на англійську) разом з контактними даними двох інших референтів, які, у разі необхідності, можуть підтвердити професійний та/або освітній рівень кандидата) до 10 травня 2024 року, 23:59 (за київським часом) на електронну адресу: rst.mepr@gmail.com. Кандидати, які подадуть неповний пакет документів, не будуть розглянуті. </w:t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Кандидати, які пройдуть відбір, будуть запрошені на письмовий тест та співбесіду. </w:t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З детальним технічним завданням можна ознайомитися нижче.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right="-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709"/>
        </w:tabs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1" w:top="1411" w:left="1411" w:right="1411" w:header="706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F637C"/>
    <w:rPr>
      <w:rFonts w:eastAsiaTheme="minorEastAsia"/>
      <w:lang w:eastAsia="uk-UA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5F637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637C"/>
  </w:style>
  <w:style w:type="paragraph" w:styleId="Footer">
    <w:name w:val="footer"/>
    <w:basedOn w:val="Normal"/>
    <w:link w:val="FooterChar"/>
    <w:uiPriority w:val="99"/>
    <w:unhideWhenUsed w:val="1"/>
    <w:rsid w:val="005F637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637C"/>
  </w:style>
  <w:style w:type="paragraph" w:styleId="ListParagraph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Normal"/>
    <w:link w:val="ListParagraphChar"/>
    <w:uiPriority w:val="34"/>
    <w:qFormat w:val="1"/>
    <w:rsid w:val="005F637C"/>
    <w:pPr>
      <w:spacing w:after="160" w:line="259" w:lineRule="auto"/>
      <w:ind w:left="720"/>
      <w:contextualSpacing w:val="1"/>
    </w:pPr>
    <w:rPr>
      <w:lang w:val="en-US"/>
    </w:rPr>
  </w:style>
  <w:style w:type="character" w:styleId="ListParagraphChar" w:customStyle="1">
    <w:name w:val="List Paragraph Char"/>
    <w:aliases w:val="Bullet Points Char,Liste Paragraf Char,Llista Nivell1 Char,Lista de nivel 1 Char,Paragraphe de liste PBLH Char,Normal bullet 2 Char,Graph &amp; Table tite Char,Table of contents numbered Char,Bullet list Char,Bullet List Paragraph Char"/>
    <w:link w:val="ListParagraph"/>
    <w:uiPriority w:val="34"/>
    <w:locked w:val="1"/>
    <w:rsid w:val="005F637C"/>
    <w:rPr>
      <w:rFonts w:eastAsiaTheme="minorEastAsia"/>
      <w:lang w:eastAsia="uk-UA"/>
    </w:rPr>
  </w:style>
  <w:style w:type="paragraph" w:styleId="Normale-n-ind" w:customStyle="1">
    <w:name w:val="Normale-n-ind"/>
    <w:rsid w:val="005F637C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120" w:line="180" w:lineRule="atLeast"/>
      <w:jc w:val="both"/>
    </w:pPr>
    <w:rPr>
      <w:rFonts w:ascii="Times New Roman" w:cs="Times New Roman" w:eastAsia="Times New Roman" w:hAnsi="Times New Roman"/>
      <w:color w:val="000000"/>
      <w:sz w:val="24"/>
      <w:szCs w:val="24"/>
      <w:u w:color="000000"/>
      <w:bdr w:space="0" w:sz="0" w:val="nil"/>
      <w:lang w:val="it-IT"/>
    </w:rPr>
  </w:style>
  <w:style w:type="paragraph" w:styleId="normaltableau" w:customStyle="1">
    <w:name w:val="normal_tableau"/>
    <w:basedOn w:val="Normal"/>
    <w:rsid w:val="002F0B01"/>
    <w:pPr>
      <w:spacing w:after="0" w:line="240" w:lineRule="auto"/>
      <w:jc w:val="both"/>
    </w:pPr>
    <w:rPr>
      <w:rFonts w:ascii="Arial" w:cs="Times New Roman" w:eastAsia="Times New Roman" w:hAnsi="Arial"/>
      <w:sz w:val="20"/>
      <w:szCs w:val="20"/>
      <w:lang w:eastAsia="de-DE"/>
    </w:rPr>
  </w:style>
  <w:style w:type="paragraph" w:styleId="CVNormal" w:customStyle="1">
    <w:name w:val="CV Normal"/>
    <w:basedOn w:val="Normal"/>
    <w:uiPriority w:val="99"/>
    <w:rsid w:val="002F0B01"/>
    <w:pPr>
      <w:suppressAutoHyphens w:val="1"/>
      <w:spacing w:after="0" w:line="240" w:lineRule="auto"/>
      <w:ind w:left="113" w:right="113"/>
    </w:pPr>
    <w:rPr>
      <w:rFonts w:ascii="Arial Narrow" w:cs="Times New Roman" w:eastAsia="Times New Roman" w:hAnsi="Arial Narrow"/>
      <w:sz w:val="20"/>
      <w:szCs w:val="20"/>
      <w:lang w:eastAsia="ar-SA" w:val="en-US"/>
    </w:rPr>
  </w:style>
  <w:style w:type="paragraph" w:styleId="PuceGrise" w:customStyle="1">
    <w:name w:val="Puce Grise"/>
    <w:basedOn w:val="Normal"/>
    <w:next w:val="Normal"/>
    <w:rsid w:val="002F0B01"/>
    <w:pPr>
      <w:numPr>
        <w:numId w:val="2"/>
      </w:numPr>
      <w:tabs>
        <w:tab w:val="left" w:pos="216"/>
      </w:tabs>
      <w:spacing w:after="20" w:before="20" w:line="240" w:lineRule="auto"/>
    </w:pPr>
    <w:rPr>
      <w:rFonts w:ascii="Arial" w:cs="Times New Roman" w:eastAsia="Times New Roman" w:hAnsi="Arial"/>
      <w:sz w:val="18"/>
      <w:szCs w:val="20"/>
      <w:lang w:eastAsia="fr-FR" w:val="en-US"/>
    </w:rPr>
  </w:style>
  <w:style w:type="table" w:styleId="TableGrid">
    <w:name w:val="Table Grid"/>
    <w:basedOn w:val="TableNormal"/>
    <w:uiPriority w:val="39"/>
    <w:rsid w:val="00C92833"/>
    <w:pPr>
      <w:spacing w:after="0" w:line="240" w:lineRule="auto"/>
    </w:pPr>
    <w:rPr>
      <w:rFonts w:eastAsiaTheme="minorEastAsia"/>
      <w:lang w:eastAsia="uk-U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mmentText">
    <w:name w:val="annotation text"/>
    <w:basedOn w:val="Normal"/>
    <w:link w:val="CommentTextChar"/>
    <w:uiPriority w:val="99"/>
    <w:unhideWhenUsed w:val="1"/>
    <w:rsid w:val="00D96CB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96CBB"/>
    <w:rPr>
      <w:rFonts w:eastAsiaTheme="minorEastAsia"/>
      <w:sz w:val="20"/>
      <w:szCs w:val="20"/>
      <w:lang w:eastAsia="uk-UA" w:val="uk-UA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F1662D"/>
    <w:rPr>
      <w:vertAlign w:val="superscript"/>
    </w:rPr>
  </w:style>
  <w:style w:type="paragraph" w:styleId="Default" w:customStyle="1">
    <w:name w:val="Default"/>
    <w:rsid w:val="00F1662D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 w:eastAsiaTheme="minorEastAsia"/>
      <w:color w:val="000000"/>
      <w:sz w:val="24"/>
      <w:szCs w:val="24"/>
      <w:lang w:eastAsia="uk-UA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CdLyr35ee2qoR3Y/0plRYyPz5w==">CgMxLjA4AHIhMU45dFVHUHZfVFpQUUozd19UcS0taFN0MzgxQUtNVFFB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2023-05-04T05:51:00Z</dcterms:created>
  <dc:creator>Anikeeva, Yuliya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37bbd4c1-49fe-4e95-8bf3-6e3b27f4fd14</vt:lpwstr>
  </property>
  <property fmtid="{D5CDD505-2E9C-101B-9397-08002B2CF9AE}" pid="3" name="bjSaver">
    <vt:lpwstr>jNVazOmbWstbFCE5y2QVOLvhavx6YHsz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uid="9c87da95-7b2f-439f-bfd9-321fc51f6870" value="" /&gt;&lt;element uid="214105f6-acd4-485a-afa0-a0b988f7534c" value="" /&gt;&lt;/sisl&gt;</vt:lpwstr>
  </property>
  <property fmtid="{D5CDD505-2E9C-101B-9397-08002B2CF9AE}" pid="6" name="bjDocumentSecurityLabel">
    <vt:lpwstr>NON-BANK USE</vt:lpwstr>
  </property>
</Properties>
</file>