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BC" w:rsidRDefault="00C872BC">
      <w:pPr>
        <w:ind w:firstLine="709"/>
        <w:jc w:val="center"/>
        <w:rPr>
          <w:color w:val="000000"/>
          <w:sz w:val="28"/>
          <w:szCs w:val="28"/>
        </w:rPr>
      </w:pPr>
      <w:r>
        <w:rPr>
          <w:b/>
          <w:color w:val="000000"/>
          <w:sz w:val="28"/>
          <w:szCs w:val="28"/>
        </w:rPr>
        <w:t>Повідомлення про намір отримання дозволу для ознайомлення з нею громадськості:</w:t>
      </w:r>
    </w:p>
    <w:p w:rsidR="00C872BC" w:rsidRDefault="00C872BC" w:rsidP="00872882">
      <w:pPr>
        <w:spacing w:after="120"/>
        <w:jc w:val="both"/>
        <w:rPr>
          <w:color w:val="000000"/>
          <w:sz w:val="24"/>
          <w:szCs w:val="24"/>
        </w:rPr>
      </w:pPr>
      <w:r>
        <w:rPr>
          <w:color w:val="000000"/>
          <w:sz w:val="24"/>
          <w:szCs w:val="24"/>
        </w:rPr>
        <w:t>ПУБЛІЧНЕ АКЦІОНЕРНЕ ТОВАРИСТВО "НАФТОПЕРЕРОБНИЙ КОМ</w:t>
      </w:r>
      <w:r w:rsidR="00872882">
        <w:rPr>
          <w:color w:val="000000"/>
          <w:sz w:val="24"/>
          <w:szCs w:val="24"/>
        </w:rPr>
        <w:t xml:space="preserve">ПЛЕКС - "ГАЛИЧИНА" </w:t>
      </w:r>
      <w:r>
        <w:rPr>
          <w:color w:val="000000"/>
          <w:sz w:val="24"/>
          <w:szCs w:val="24"/>
        </w:rPr>
        <w:t>(</w:t>
      </w:r>
      <w:bookmarkStart w:id="0" w:name="_GoBack"/>
      <w:r>
        <w:rPr>
          <w:color w:val="000000"/>
          <w:sz w:val="24"/>
          <w:szCs w:val="24"/>
        </w:rPr>
        <w:t>ПАТ «НПК - ГАЛИЧИНА»</w:t>
      </w:r>
      <w:bookmarkEnd w:id="0"/>
      <w:r>
        <w:rPr>
          <w:color w:val="000000"/>
          <w:sz w:val="24"/>
          <w:szCs w:val="24"/>
        </w:rPr>
        <w:t>);</w:t>
      </w:r>
    </w:p>
    <w:p w:rsidR="00C872BC" w:rsidRDefault="00C872BC">
      <w:pPr>
        <w:spacing w:after="120"/>
        <w:rPr>
          <w:color w:val="000000"/>
          <w:sz w:val="24"/>
          <w:szCs w:val="24"/>
        </w:rPr>
      </w:pPr>
      <w:r>
        <w:rPr>
          <w:i/>
          <w:color w:val="000000"/>
          <w:sz w:val="24"/>
          <w:szCs w:val="24"/>
        </w:rPr>
        <w:t>ідентифікаційний код юридичної особи в ЄДРПОУ</w:t>
      </w:r>
      <w:r>
        <w:rPr>
          <w:color w:val="000000"/>
          <w:sz w:val="24"/>
          <w:szCs w:val="24"/>
        </w:rPr>
        <w:t xml:space="preserve"> - 00152388;</w:t>
      </w:r>
    </w:p>
    <w:p w:rsidR="00C872BC" w:rsidRDefault="00C872BC">
      <w:pPr>
        <w:spacing w:after="120"/>
        <w:rPr>
          <w:color w:val="000000"/>
          <w:sz w:val="24"/>
          <w:szCs w:val="24"/>
          <w:highlight w:val="white"/>
        </w:rPr>
      </w:pPr>
      <w:r>
        <w:rPr>
          <w:i/>
          <w:color w:val="000000"/>
          <w:sz w:val="24"/>
          <w:szCs w:val="24"/>
        </w:rPr>
        <w:t>місцезнаходження суб’єкта господарювання, контактний номер телефону, адресу електронної пошти суб’єкта господарювання</w:t>
      </w:r>
      <w:r>
        <w:rPr>
          <w:color w:val="000000"/>
          <w:sz w:val="24"/>
          <w:szCs w:val="24"/>
        </w:rPr>
        <w:t xml:space="preserve"> – </w:t>
      </w:r>
      <w:r>
        <w:rPr>
          <w:color w:val="000000"/>
          <w:sz w:val="24"/>
          <w:szCs w:val="24"/>
          <w:highlight w:val="white"/>
        </w:rPr>
        <w:t>82100, Львівська область, Дрогобицький район, м. Дрогобич, вул. Бориславська, 82, тел. (0324) 41-01-25, (03244) 3-75-55, Е-mail: info@npk-galychyna.com.ua;</w:t>
      </w:r>
    </w:p>
    <w:p w:rsidR="00C872BC" w:rsidRDefault="00C872BC">
      <w:pPr>
        <w:spacing w:after="120"/>
        <w:rPr>
          <w:color w:val="000000"/>
          <w:sz w:val="24"/>
          <w:szCs w:val="24"/>
        </w:rPr>
      </w:pPr>
      <w:r>
        <w:rPr>
          <w:i/>
          <w:color w:val="000000"/>
          <w:sz w:val="24"/>
          <w:szCs w:val="24"/>
        </w:rPr>
        <w:t>місцезнаходження об’єкта/промислового майданчика</w:t>
      </w:r>
      <w:r>
        <w:rPr>
          <w:color w:val="000000"/>
          <w:sz w:val="24"/>
          <w:szCs w:val="24"/>
        </w:rPr>
        <w:t xml:space="preserve"> - </w:t>
      </w:r>
      <w:r>
        <w:rPr>
          <w:color w:val="000000"/>
          <w:sz w:val="24"/>
          <w:szCs w:val="24"/>
          <w:highlight w:val="white"/>
        </w:rPr>
        <w:t>82100, Львівська область, Дрогобицький район, м. Дрогобич, вул. Бориславська, 82</w:t>
      </w:r>
      <w:r>
        <w:rPr>
          <w:color w:val="000000"/>
          <w:sz w:val="24"/>
          <w:szCs w:val="24"/>
        </w:rPr>
        <w:t>;</w:t>
      </w:r>
    </w:p>
    <w:p w:rsidR="00C872BC" w:rsidRPr="00516C73" w:rsidRDefault="00C872BC">
      <w:pPr>
        <w:spacing w:after="120"/>
        <w:rPr>
          <w:color w:val="000000"/>
          <w:sz w:val="23"/>
          <w:szCs w:val="23"/>
        </w:rPr>
      </w:pPr>
      <w:r w:rsidRPr="00516C73">
        <w:rPr>
          <w:i/>
          <w:color w:val="000000"/>
          <w:sz w:val="24"/>
          <w:szCs w:val="24"/>
        </w:rPr>
        <w:t>мета отримання дозволу на викиди</w:t>
      </w:r>
      <w:r w:rsidRPr="00516C73">
        <w:rPr>
          <w:color w:val="000000"/>
          <w:sz w:val="24"/>
          <w:szCs w:val="24"/>
        </w:rPr>
        <w:t xml:space="preserve"> – </w:t>
      </w:r>
      <w:r w:rsidRPr="00516C73">
        <w:rPr>
          <w:color w:val="000000"/>
          <w:sz w:val="23"/>
          <w:szCs w:val="23"/>
        </w:rPr>
        <w:t xml:space="preserve">отримання дозволу для існуючого об’єкту у зв’язку з закінченням терміну дії дозволу на викиди №4610600000-63 та продовження строків виконання заходів відповідно </w:t>
      </w:r>
      <w:r w:rsidRPr="00516C73">
        <w:rPr>
          <w:color w:val="000000"/>
          <w:sz w:val="24"/>
          <w:szCs w:val="24"/>
        </w:rPr>
        <w:t xml:space="preserve">до п. 25 </w:t>
      </w:r>
      <w:hyperlink r:id="rId5" w:anchor="n16">
        <w:r w:rsidRPr="00516C73">
          <w:rPr>
            <w:color w:val="000000"/>
            <w:sz w:val="24"/>
            <w:szCs w:val="24"/>
          </w:rPr>
          <w:t>Плану заходів щодо дерегуляції господарської діяльності та покращення бізнес-клімату</w:t>
        </w:r>
      </w:hyperlink>
      <w:r w:rsidRPr="00516C73">
        <w:rPr>
          <w:color w:val="000000"/>
          <w:sz w:val="24"/>
          <w:szCs w:val="24"/>
        </w:rPr>
        <w:t xml:space="preserve">, затвердженого розпорядженням Кабінету Міністрів України від 4 грудня 2019 р. № 1413-р (в редакції розпорядження Кабінету Міністрів України </w:t>
      </w:r>
      <w:hyperlink r:id="rId6" w:anchor="n7">
        <w:r w:rsidRPr="00516C73">
          <w:rPr>
            <w:color w:val="000000"/>
            <w:sz w:val="24"/>
            <w:szCs w:val="24"/>
          </w:rPr>
          <w:t>від 31 січня 2023 р. № 89-р</w:t>
        </w:r>
      </w:hyperlink>
      <w:r w:rsidRPr="00516C73">
        <w:rPr>
          <w:color w:val="000000"/>
          <w:sz w:val="24"/>
          <w:szCs w:val="24"/>
        </w:rPr>
        <w:t>) - п</w:t>
      </w:r>
      <w:hyperlink r:id="rId7">
        <w:r w:rsidRPr="00516C73">
          <w:rPr>
            <w:color w:val="000000"/>
            <w:sz w:val="24"/>
            <w:szCs w:val="24"/>
          </w:rPr>
          <w:t>ісля спливу двох років з дня припинення чи скасування воєнного стану в Україні, введеного</w:t>
        </w:r>
      </w:hyperlink>
      <w:r w:rsidRPr="00516C73">
        <w:rPr>
          <w:color w:val="000000"/>
          <w:sz w:val="24"/>
          <w:szCs w:val="24"/>
        </w:rPr>
        <w:t xml:space="preserve"> </w:t>
      </w:r>
      <w:hyperlink r:id="rId8">
        <w:r w:rsidRPr="00516C73">
          <w:rPr>
            <w:color w:val="000000"/>
            <w:sz w:val="24"/>
            <w:szCs w:val="24"/>
          </w:rPr>
          <w:t>Указом Президента України від 24 лютого 2022 року № 64 «Про введення воєнного стану в Україні»</w:t>
        </w:r>
      </w:hyperlink>
      <w:hyperlink r:id="rId9">
        <w:r w:rsidRPr="00516C73">
          <w:rPr>
            <w:color w:val="000000"/>
            <w:sz w:val="24"/>
            <w:szCs w:val="24"/>
          </w:rPr>
          <w:t>, затвердженим</w:t>
        </w:r>
      </w:hyperlink>
      <w:r w:rsidRPr="00516C73">
        <w:rPr>
          <w:color w:val="000000"/>
          <w:sz w:val="24"/>
          <w:szCs w:val="24"/>
        </w:rPr>
        <w:t xml:space="preserve"> </w:t>
      </w:r>
      <w:hyperlink r:id="rId10">
        <w:r w:rsidRPr="00516C73">
          <w:rPr>
            <w:color w:val="000000"/>
            <w:sz w:val="24"/>
            <w:szCs w:val="24"/>
          </w:rPr>
          <w:t>Законом України від 24 лютого 2022 року № 2102-IX «Про затвердження Указу Президента України «Про введення воєнного стану в Україні»</w:t>
        </w:r>
      </w:hyperlink>
      <w:r w:rsidRPr="00516C73">
        <w:rPr>
          <w:color w:val="000000"/>
          <w:sz w:val="24"/>
          <w:szCs w:val="24"/>
        </w:rPr>
        <w:t>, яким встановлено термін «після спливу двох років з дня припинення чи скасу</w:t>
      </w:r>
      <w:r w:rsidR="00872882">
        <w:rPr>
          <w:color w:val="000000"/>
          <w:sz w:val="24"/>
          <w:szCs w:val="24"/>
        </w:rPr>
        <w:t>вання воєнного стану в Україні».</w:t>
      </w:r>
    </w:p>
    <w:p w:rsidR="00C872BC" w:rsidRDefault="00872882">
      <w:pPr>
        <w:spacing w:after="120"/>
        <w:rPr>
          <w:color w:val="000000"/>
          <w:sz w:val="24"/>
          <w:szCs w:val="24"/>
        </w:rPr>
      </w:pPr>
      <w:r w:rsidRPr="00872882">
        <w:rPr>
          <w:color w:val="000000"/>
          <w:sz w:val="24"/>
          <w:szCs w:val="24"/>
        </w:rPr>
        <w:t>Р</w:t>
      </w:r>
      <w:r w:rsidR="00C872BC" w:rsidRPr="00516C73">
        <w:rPr>
          <w:color w:val="000000"/>
          <w:sz w:val="24"/>
          <w:szCs w:val="24"/>
        </w:rPr>
        <w:t>еконструкція,</w:t>
      </w:r>
      <w:r w:rsidR="00C872BC">
        <w:rPr>
          <w:color w:val="000000"/>
          <w:sz w:val="24"/>
          <w:szCs w:val="24"/>
        </w:rPr>
        <w:t xml:space="preserve"> розширення та технічне переоснащення процесу переробки нафти та роботи ТЕЦ не здійснювалися. Відповідно, діяльність підприємства, не підлягає під дію Закону України (ЗУ) «Про оцінку впливу на довкілля» №2059-VIIІ від 18.12.2017 р., висновок щодо допустимості провадження планованої діяльності ПАТ "НПК Галичина", згідно вимог ЗУ, відсутній.</w:t>
      </w:r>
    </w:p>
    <w:p w:rsidR="00C872BC" w:rsidRDefault="00872882">
      <w:pPr>
        <w:spacing w:after="120"/>
        <w:rPr>
          <w:color w:val="000000"/>
          <w:sz w:val="24"/>
          <w:szCs w:val="24"/>
        </w:rPr>
      </w:pPr>
      <w:r w:rsidRPr="00872882">
        <w:rPr>
          <w:color w:val="000000"/>
          <w:sz w:val="24"/>
          <w:szCs w:val="24"/>
        </w:rPr>
        <w:t>П</w:t>
      </w:r>
      <w:r w:rsidR="00C872BC">
        <w:rPr>
          <w:color w:val="000000"/>
          <w:sz w:val="24"/>
          <w:szCs w:val="24"/>
        </w:rPr>
        <w:t xml:space="preserve">ередбачено переробку нафти для забезпечення товарними нафтопродуктами і зрідженим газом український ринок. До складу підприємства входять установки: первинної переробки нафти; каталітичного риформінгу бензинів; вторинної перегонки бензину; термічного крекінгу; виробництва бітуму; виробництва парафіну. Роботу технологічних установок забезпечують об'єкти загально-заводського господарства: резервуарні парки (сировинні, товарні і </w:t>
      </w:r>
      <w:proofErr w:type="spellStart"/>
      <w:r w:rsidR="00C872BC">
        <w:rPr>
          <w:color w:val="000000"/>
          <w:sz w:val="24"/>
          <w:szCs w:val="24"/>
        </w:rPr>
        <w:t>промпарки</w:t>
      </w:r>
      <w:proofErr w:type="spellEnd"/>
      <w:r w:rsidR="00C872BC">
        <w:rPr>
          <w:color w:val="000000"/>
          <w:sz w:val="24"/>
          <w:szCs w:val="24"/>
        </w:rPr>
        <w:t xml:space="preserve">); зливо-наливні залізничні та автомобільні естакади; </w:t>
      </w:r>
      <w:proofErr w:type="spellStart"/>
      <w:r w:rsidR="00C872BC">
        <w:rPr>
          <w:color w:val="000000"/>
          <w:sz w:val="24"/>
          <w:szCs w:val="24"/>
        </w:rPr>
        <w:t>реагентне</w:t>
      </w:r>
      <w:proofErr w:type="spellEnd"/>
      <w:r w:rsidR="00C872BC">
        <w:rPr>
          <w:color w:val="000000"/>
          <w:sz w:val="24"/>
          <w:szCs w:val="24"/>
        </w:rPr>
        <w:t xml:space="preserve"> господарство; ТЕЦ; повітряна компресорна; азотне господарство; випробувальна та санітарна лабораторії; ремонтно-будівельне управління; водневе господарство; транспортний цех; очисні споруди; блоки оборотного водопостачання.</w:t>
      </w:r>
    </w:p>
    <w:p w:rsidR="00C872BC" w:rsidRDefault="00872882">
      <w:pPr>
        <w:spacing w:after="120"/>
        <w:rPr>
          <w:color w:val="000000"/>
          <w:sz w:val="24"/>
          <w:szCs w:val="24"/>
        </w:rPr>
      </w:pPr>
      <w:r>
        <w:rPr>
          <w:color w:val="000000"/>
          <w:sz w:val="24"/>
          <w:szCs w:val="24"/>
        </w:rPr>
        <w:t>У</w:t>
      </w:r>
      <w:r w:rsidR="00C872BC">
        <w:rPr>
          <w:color w:val="000000"/>
          <w:sz w:val="24"/>
          <w:szCs w:val="24"/>
        </w:rPr>
        <w:t xml:space="preserve"> результаті виробничої діяльності підприємства із стаціонарних джерел в атмосферне повітря здійснюються викиди таких забруднюючих речовин (тонн/рік):  заліза оксид - 0,186, нікелю окис - 0,0004, свинець та його з'єднання - 0,0004, хрому трьохвалентні з'єднання - 0,001, </w:t>
      </w:r>
      <w:r>
        <w:rPr>
          <w:color w:val="000000"/>
          <w:sz w:val="24"/>
          <w:szCs w:val="24"/>
        </w:rPr>
        <w:t>манган та його сполуки  в перерахунку на діоксин мангану</w:t>
      </w:r>
      <w:r w:rsidR="00C872BC">
        <w:rPr>
          <w:color w:val="000000"/>
          <w:sz w:val="24"/>
          <w:szCs w:val="24"/>
        </w:rPr>
        <w:t xml:space="preserve"> - 0,038, речовини у вигляді суспендованих твердих частинок</w:t>
      </w:r>
      <w:r>
        <w:rPr>
          <w:color w:val="000000"/>
          <w:sz w:val="24"/>
          <w:szCs w:val="24"/>
        </w:rPr>
        <w:t xml:space="preserve"> недиференційованих за складом</w:t>
      </w:r>
      <w:r w:rsidR="00C872BC">
        <w:rPr>
          <w:color w:val="000000"/>
          <w:sz w:val="24"/>
          <w:szCs w:val="24"/>
        </w:rPr>
        <w:t xml:space="preserve"> – 0,222, натрію гідроокис - 0,016, </w:t>
      </w:r>
      <w:r>
        <w:rPr>
          <w:color w:val="000000"/>
          <w:sz w:val="24"/>
          <w:szCs w:val="24"/>
        </w:rPr>
        <w:t xml:space="preserve">оксиди азоту (оксид та діоксин азоту) у перерахунку на </w:t>
      </w:r>
      <w:r w:rsidR="00E820A7">
        <w:rPr>
          <w:color w:val="000000"/>
          <w:sz w:val="24"/>
          <w:szCs w:val="24"/>
        </w:rPr>
        <w:t>діоксид</w:t>
      </w:r>
      <w:r>
        <w:rPr>
          <w:color w:val="000000"/>
          <w:sz w:val="24"/>
          <w:szCs w:val="24"/>
        </w:rPr>
        <w:t xml:space="preserve"> азоту</w:t>
      </w:r>
      <w:r w:rsidR="00C872BC">
        <w:rPr>
          <w:color w:val="000000"/>
          <w:sz w:val="24"/>
          <w:szCs w:val="24"/>
        </w:rPr>
        <w:t xml:space="preserve"> - 585,801, аміак - 1,071, кислота азотна - 0,013, </w:t>
      </w:r>
      <w:r>
        <w:rPr>
          <w:color w:val="000000"/>
          <w:sz w:val="24"/>
          <w:szCs w:val="24"/>
        </w:rPr>
        <w:t>діоксид</w:t>
      </w:r>
      <w:r w:rsidR="00E820A7">
        <w:rPr>
          <w:color w:val="000000"/>
          <w:sz w:val="24"/>
          <w:szCs w:val="24"/>
        </w:rPr>
        <w:t xml:space="preserve"> сірки (діоксид та триоксид) у перерахунку на діоксид сірки</w:t>
      </w:r>
      <w:r>
        <w:rPr>
          <w:color w:val="000000"/>
          <w:sz w:val="24"/>
          <w:szCs w:val="24"/>
        </w:rPr>
        <w:t xml:space="preserve"> </w:t>
      </w:r>
      <w:r w:rsidR="00C872BC">
        <w:rPr>
          <w:color w:val="000000"/>
          <w:sz w:val="24"/>
          <w:szCs w:val="24"/>
        </w:rPr>
        <w:t xml:space="preserve"> - 1843,210, сірководень – 1,201, </w:t>
      </w:r>
      <w:r w:rsidR="00E820A7">
        <w:rPr>
          <w:color w:val="000000"/>
          <w:sz w:val="24"/>
          <w:szCs w:val="24"/>
        </w:rPr>
        <w:t>сульфатна кислота (</w:t>
      </w:r>
      <w:r w:rsidR="00E820A7">
        <w:rPr>
          <w:color w:val="000000"/>
          <w:sz w:val="24"/>
          <w:szCs w:val="24"/>
          <w:lang w:val="en-US"/>
        </w:rPr>
        <w:t>H</w:t>
      </w:r>
      <w:r w:rsidR="00E820A7" w:rsidRPr="00E820A7">
        <w:rPr>
          <w:color w:val="000000"/>
          <w:sz w:val="24"/>
          <w:szCs w:val="24"/>
          <w:vertAlign w:val="subscript"/>
          <w:lang w:val="en-US"/>
        </w:rPr>
        <w:t>2</w:t>
      </w:r>
      <w:r w:rsidR="00E820A7">
        <w:rPr>
          <w:color w:val="000000"/>
          <w:sz w:val="24"/>
          <w:szCs w:val="24"/>
          <w:lang w:val="en-US"/>
        </w:rPr>
        <w:t>SO</w:t>
      </w:r>
      <w:r w:rsidR="00E820A7" w:rsidRPr="00E820A7">
        <w:rPr>
          <w:color w:val="000000"/>
          <w:sz w:val="24"/>
          <w:szCs w:val="24"/>
          <w:vertAlign w:val="subscript"/>
          <w:lang w:val="en-US"/>
        </w:rPr>
        <w:t>4</w:t>
      </w:r>
      <w:r w:rsidR="00E820A7">
        <w:rPr>
          <w:color w:val="000000"/>
          <w:sz w:val="24"/>
          <w:szCs w:val="24"/>
        </w:rPr>
        <w:t>)(сірчана кислота)</w:t>
      </w:r>
      <w:r w:rsidR="00C872BC">
        <w:rPr>
          <w:color w:val="000000"/>
          <w:sz w:val="24"/>
          <w:szCs w:val="24"/>
        </w:rPr>
        <w:t xml:space="preserve"> - 0,014, </w:t>
      </w:r>
      <w:r w:rsidR="00E820A7">
        <w:rPr>
          <w:color w:val="000000"/>
          <w:sz w:val="24"/>
          <w:szCs w:val="24"/>
        </w:rPr>
        <w:t xml:space="preserve">оксид </w:t>
      </w:r>
      <w:r w:rsidR="00C872BC">
        <w:rPr>
          <w:color w:val="000000"/>
          <w:sz w:val="24"/>
          <w:szCs w:val="24"/>
        </w:rPr>
        <w:t>вуглецю - 108,507, неметанові леткі органічні сполуки (НМЛОС, у т.ч. бутан, гексан, етилен, бензин нафтовий, вуглеводні граничні С</w:t>
      </w:r>
      <w:r w:rsidR="00C872BC">
        <w:rPr>
          <w:color w:val="000000"/>
          <w:sz w:val="24"/>
          <w:szCs w:val="24"/>
          <w:vertAlign w:val="subscript"/>
        </w:rPr>
        <w:t>2</w:t>
      </w:r>
      <w:r w:rsidR="00C872BC">
        <w:rPr>
          <w:color w:val="000000"/>
          <w:sz w:val="24"/>
          <w:szCs w:val="24"/>
        </w:rPr>
        <w:t>-С</w:t>
      </w:r>
      <w:r w:rsidR="00C872BC">
        <w:rPr>
          <w:color w:val="000000"/>
          <w:sz w:val="24"/>
          <w:szCs w:val="24"/>
          <w:vertAlign w:val="subscript"/>
        </w:rPr>
        <w:t>5</w:t>
      </w:r>
      <w:r w:rsidR="00C872BC">
        <w:rPr>
          <w:color w:val="000000"/>
          <w:sz w:val="24"/>
          <w:szCs w:val="24"/>
        </w:rPr>
        <w:t>, С</w:t>
      </w:r>
      <w:r w:rsidR="00C872BC">
        <w:rPr>
          <w:color w:val="000000"/>
          <w:sz w:val="24"/>
          <w:szCs w:val="24"/>
          <w:vertAlign w:val="subscript"/>
        </w:rPr>
        <w:t>12</w:t>
      </w:r>
      <w:r w:rsidR="00C872BC">
        <w:rPr>
          <w:color w:val="000000"/>
          <w:sz w:val="24"/>
          <w:szCs w:val="24"/>
        </w:rPr>
        <w:t>-С</w:t>
      </w:r>
      <w:r w:rsidR="00C872BC">
        <w:rPr>
          <w:color w:val="000000"/>
          <w:sz w:val="24"/>
          <w:szCs w:val="24"/>
          <w:vertAlign w:val="subscript"/>
        </w:rPr>
        <w:t>19</w:t>
      </w:r>
      <w:r w:rsidR="00C872BC">
        <w:rPr>
          <w:color w:val="000000"/>
          <w:sz w:val="24"/>
          <w:szCs w:val="24"/>
        </w:rPr>
        <w:t xml:space="preserve">) – 1701,688, ацетон - 0,025, бензол – 18,592; ксилол – 9,975, </w:t>
      </w:r>
      <w:proofErr w:type="spellStart"/>
      <w:r w:rsidR="00C872BC">
        <w:rPr>
          <w:color w:val="000000"/>
          <w:sz w:val="24"/>
          <w:szCs w:val="24"/>
        </w:rPr>
        <w:t>толу</w:t>
      </w:r>
      <w:r w:rsidR="00E820A7">
        <w:rPr>
          <w:color w:val="000000"/>
          <w:sz w:val="24"/>
          <w:szCs w:val="24"/>
        </w:rPr>
        <w:t>ени</w:t>
      </w:r>
      <w:proofErr w:type="spellEnd"/>
      <w:r w:rsidR="00C872BC">
        <w:rPr>
          <w:color w:val="000000"/>
          <w:sz w:val="24"/>
          <w:szCs w:val="24"/>
        </w:rPr>
        <w:t xml:space="preserve"> – 20,736, етилбензол – 0,233; метан - 9,556, водень хлористий (соляна кислота) - 0,017, фтор та його  сполуки – 0,010. Загальний обсяг потенційних викидів забруднюючих при проектній потужності підприємства складає 4301,113 т/рік. При фактичній роботі підприємства обсяг викидів забруднюючих речовин за 2021 рік становив 210,634 т, у т.ч. метали та їх сполуки – 0,002, речовини у вигляді </w:t>
      </w:r>
      <w:r w:rsidR="00C872BC">
        <w:rPr>
          <w:color w:val="000000"/>
          <w:sz w:val="24"/>
          <w:szCs w:val="24"/>
        </w:rPr>
        <w:lastRenderedPageBreak/>
        <w:t>суспендованих твердих частинок</w:t>
      </w:r>
      <w:r w:rsidR="00E820A7">
        <w:rPr>
          <w:color w:val="000000"/>
          <w:sz w:val="24"/>
          <w:szCs w:val="24"/>
        </w:rPr>
        <w:t xml:space="preserve"> недиференційованих за складом</w:t>
      </w:r>
      <w:r w:rsidR="00C872BC">
        <w:rPr>
          <w:color w:val="000000"/>
          <w:sz w:val="24"/>
          <w:szCs w:val="24"/>
        </w:rPr>
        <w:t xml:space="preserve"> – 0,024, </w:t>
      </w:r>
      <w:r w:rsidR="00E820A7">
        <w:rPr>
          <w:color w:val="000000"/>
          <w:sz w:val="24"/>
          <w:szCs w:val="24"/>
        </w:rPr>
        <w:t>оксиди</w:t>
      </w:r>
      <w:r w:rsidR="00C872BC">
        <w:rPr>
          <w:color w:val="000000"/>
          <w:sz w:val="24"/>
          <w:szCs w:val="24"/>
        </w:rPr>
        <w:t xml:space="preserve"> азоту</w:t>
      </w:r>
      <w:r w:rsidR="00E820A7">
        <w:rPr>
          <w:color w:val="000000"/>
          <w:sz w:val="24"/>
          <w:szCs w:val="24"/>
        </w:rPr>
        <w:t xml:space="preserve"> (оксид та діоксид азоту) у перерахунку на діоксид азоту</w:t>
      </w:r>
      <w:r w:rsidR="00C872BC">
        <w:rPr>
          <w:color w:val="000000"/>
          <w:sz w:val="24"/>
          <w:szCs w:val="24"/>
        </w:rPr>
        <w:t xml:space="preserve"> – 44,019, діоксид сірки</w:t>
      </w:r>
      <w:r w:rsidR="00E820A7">
        <w:rPr>
          <w:color w:val="000000"/>
          <w:sz w:val="24"/>
          <w:szCs w:val="24"/>
        </w:rPr>
        <w:t xml:space="preserve"> (діоксид та триоксид) у перерахунку на діоксид сірки</w:t>
      </w:r>
      <w:r w:rsidR="00C872BC">
        <w:rPr>
          <w:color w:val="000000"/>
          <w:sz w:val="24"/>
          <w:szCs w:val="24"/>
        </w:rPr>
        <w:t xml:space="preserve"> – 0,085, оксид вуглецю – 13,608, НМЛОС – 151,813, бензол – 1,214, ксилол – 1,173, </w:t>
      </w:r>
      <w:proofErr w:type="spellStart"/>
      <w:r w:rsidR="00C872BC">
        <w:rPr>
          <w:color w:val="000000"/>
          <w:sz w:val="24"/>
          <w:szCs w:val="24"/>
        </w:rPr>
        <w:t>толу</w:t>
      </w:r>
      <w:r w:rsidR="00E820A7">
        <w:rPr>
          <w:color w:val="000000"/>
          <w:sz w:val="24"/>
          <w:szCs w:val="24"/>
        </w:rPr>
        <w:t>ени</w:t>
      </w:r>
      <w:proofErr w:type="spellEnd"/>
      <w:r w:rsidR="00C872BC">
        <w:rPr>
          <w:color w:val="000000"/>
          <w:sz w:val="24"/>
          <w:szCs w:val="24"/>
        </w:rPr>
        <w:t>– 2,186, метан – 1,083.</w:t>
      </w:r>
    </w:p>
    <w:p w:rsidR="00C872BC" w:rsidRDefault="00E820A7">
      <w:pPr>
        <w:spacing w:after="120"/>
        <w:rPr>
          <w:color w:val="000000"/>
          <w:sz w:val="24"/>
          <w:szCs w:val="24"/>
        </w:rPr>
      </w:pPr>
      <w:r>
        <w:rPr>
          <w:color w:val="000000"/>
          <w:sz w:val="24"/>
          <w:szCs w:val="24"/>
        </w:rPr>
        <w:t>Д</w:t>
      </w:r>
      <w:r w:rsidR="00C872BC">
        <w:rPr>
          <w:color w:val="000000"/>
          <w:sz w:val="24"/>
          <w:szCs w:val="24"/>
        </w:rPr>
        <w:t xml:space="preserve">ля модернізації існуючого обладнання, заміни морально та фізично зношеного обладнання на сучасне розроблено документацію щодо реконструкції існуючого устаткування з будівництвом нових сучасних установок, які базуються на кращих </w:t>
      </w:r>
      <w:proofErr w:type="spellStart"/>
      <w:r w:rsidR="00C872BC">
        <w:rPr>
          <w:color w:val="000000"/>
          <w:sz w:val="24"/>
          <w:szCs w:val="24"/>
        </w:rPr>
        <w:t>ліцензійованих</w:t>
      </w:r>
      <w:proofErr w:type="spellEnd"/>
      <w:r w:rsidR="00C872BC">
        <w:rPr>
          <w:color w:val="000000"/>
          <w:sz w:val="24"/>
          <w:szCs w:val="24"/>
        </w:rPr>
        <w:t xml:space="preserve"> технологічних процесах, основаних на останніх досягненнях світової науки і техніки і направлених на зниження негативного впливу на навколишнє середовище. Підприємство розпочало впровадження найкращих існуючих технологій виробництва у відповідності до календарного плану. Однак, з 2012 року об'єкт не здійснює нафтопереробної діяльності і практично зупинений через економічні причини та матеріальний стан. Більшість виробництв на даний момент законсервовано. Фінансування виконання заходів призупинене через відсутність джерел надходження коштів. У зв'язку з цим виконання заходів не здійснювалося. Окрім того зупинка і консервація деяких виробництв фактично реалізувала заходи, щодо виведення з ладу установок термічного крекінгу та факельної установки, які, де факто, не працюють уже з 2012 року. Підприємство планує продовжити виконання заходів одразу після відновлення роботи та покращення фінансово-матеріального становища згідно затвердженої програми, а саме - очищення </w:t>
      </w:r>
      <w:proofErr w:type="spellStart"/>
      <w:r w:rsidR="00C872BC">
        <w:rPr>
          <w:color w:val="000000"/>
          <w:sz w:val="24"/>
          <w:szCs w:val="24"/>
        </w:rPr>
        <w:t>скруберного</w:t>
      </w:r>
      <w:proofErr w:type="spellEnd"/>
      <w:r w:rsidR="00C872BC">
        <w:rPr>
          <w:color w:val="000000"/>
          <w:sz w:val="24"/>
          <w:szCs w:val="24"/>
        </w:rPr>
        <w:t xml:space="preserve"> газу установок АВТ1, АВТ2, АТ2 та крекінг газу установки термічного крекінгу від сірководню (будівництво блоків очистки паливних газів), </w:t>
      </w:r>
      <w:r w:rsidR="00C872BC" w:rsidRPr="005D685F">
        <w:rPr>
          <w:color w:val="000000"/>
          <w:sz w:val="24"/>
          <w:szCs w:val="24"/>
        </w:rPr>
        <w:t xml:space="preserve">термін виконання </w:t>
      </w:r>
      <w:r w:rsidRPr="005D685F">
        <w:rPr>
          <w:color w:val="000000"/>
          <w:sz w:val="24"/>
          <w:szCs w:val="24"/>
        </w:rPr>
        <w:t>пропонується</w:t>
      </w:r>
      <w:r w:rsidR="005D685F">
        <w:rPr>
          <w:color w:val="000000"/>
          <w:sz w:val="24"/>
          <w:szCs w:val="24"/>
        </w:rPr>
        <w:t xml:space="preserve"> встановити </w:t>
      </w:r>
      <w:r w:rsidR="00C872BC">
        <w:rPr>
          <w:color w:val="000000"/>
          <w:sz w:val="24"/>
          <w:szCs w:val="24"/>
        </w:rPr>
        <w:t xml:space="preserve">відповідно до п. 25 </w:t>
      </w:r>
      <w:hyperlink r:id="rId11" w:anchor="n16">
        <w:r w:rsidR="00C872BC">
          <w:rPr>
            <w:color w:val="000000"/>
            <w:sz w:val="24"/>
            <w:szCs w:val="24"/>
          </w:rPr>
          <w:t>Плану заходів щодо дерегуляції господарської діяльності та покращення бізнес-клімату</w:t>
        </w:r>
      </w:hyperlink>
      <w:r w:rsidR="00C872BC">
        <w:rPr>
          <w:color w:val="000000"/>
          <w:sz w:val="24"/>
          <w:szCs w:val="24"/>
        </w:rPr>
        <w:t xml:space="preserve">, затвердженого розпорядженням Кабінету Міністрів України від 4 грудня 2019 р. № 1413-р (в редакції розпорядження Кабінету Міністрів України </w:t>
      </w:r>
      <w:hyperlink r:id="rId12" w:anchor="n7">
        <w:r w:rsidR="00C872BC">
          <w:rPr>
            <w:color w:val="000000"/>
            <w:sz w:val="24"/>
            <w:szCs w:val="24"/>
          </w:rPr>
          <w:t>від 31 січня 2023 р. № 89-р</w:t>
        </w:r>
      </w:hyperlink>
      <w:r w:rsidR="00C872BC">
        <w:rPr>
          <w:color w:val="000000"/>
          <w:sz w:val="24"/>
          <w:szCs w:val="24"/>
        </w:rPr>
        <w:t>) - п</w:t>
      </w:r>
      <w:hyperlink r:id="rId13">
        <w:r w:rsidR="00C872BC">
          <w:rPr>
            <w:color w:val="000000"/>
            <w:sz w:val="24"/>
            <w:szCs w:val="24"/>
          </w:rPr>
          <w:t>ісля спливу двох років з дня припинення чи скасування воєнного стану в Україні, введеного</w:t>
        </w:r>
      </w:hyperlink>
      <w:r w:rsidR="00C872BC">
        <w:rPr>
          <w:color w:val="000000"/>
          <w:sz w:val="24"/>
          <w:szCs w:val="24"/>
        </w:rPr>
        <w:t xml:space="preserve"> </w:t>
      </w:r>
      <w:hyperlink r:id="rId14">
        <w:r w:rsidR="00C872BC">
          <w:rPr>
            <w:color w:val="000000"/>
            <w:sz w:val="24"/>
            <w:szCs w:val="24"/>
          </w:rPr>
          <w:t>Указом Президента України від 24 лютого 2022 року № 64 «Про введення воєнного стану в Україні»</w:t>
        </w:r>
      </w:hyperlink>
      <w:hyperlink r:id="rId15">
        <w:r w:rsidR="00C872BC">
          <w:rPr>
            <w:color w:val="000000"/>
            <w:sz w:val="24"/>
            <w:szCs w:val="24"/>
          </w:rPr>
          <w:t>, затвердженим</w:t>
        </w:r>
      </w:hyperlink>
      <w:r w:rsidR="00C872BC">
        <w:rPr>
          <w:color w:val="000000"/>
          <w:sz w:val="24"/>
          <w:szCs w:val="24"/>
        </w:rPr>
        <w:t xml:space="preserve"> </w:t>
      </w:r>
      <w:hyperlink r:id="rId16">
        <w:r w:rsidR="00C872BC">
          <w:rPr>
            <w:color w:val="000000"/>
            <w:sz w:val="24"/>
            <w:szCs w:val="24"/>
          </w:rPr>
          <w:t>Законом України від 24 лютого 2022 року № 2102-IX «Про затвердження Указу Президента України «Про введення воєнного стану в Україні»</w:t>
        </w:r>
      </w:hyperlink>
      <w:r w:rsidR="00C872BC">
        <w:rPr>
          <w:color w:val="000000"/>
          <w:sz w:val="24"/>
          <w:szCs w:val="24"/>
        </w:rPr>
        <w:t>;</w:t>
      </w:r>
    </w:p>
    <w:p w:rsidR="00C872BC" w:rsidRDefault="005D685F">
      <w:pPr>
        <w:spacing w:after="120"/>
        <w:rPr>
          <w:color w:val="000000"/>
          <w:sz w:val="24"/>
          <w:szCs w:val="24"/>
        </w:rPr>
      </w:pPr>
      <w:r w:rsidRPr="005D685F">
        <w:rPr>
          <w:color w:val="000000"/>
          <w:sz w:val="24"/>
          <w:szCs w:val="24"/>
        </w:rPr>
        <w:t xml:space="preserve">З </w:t>
      </w:r>
      <w:r w:rsidR="00C872BC">
        <w:rPr>
          <w:color w:val="000000"/>
          <w:sz w:val="24"/>
          <w:szCs w:val="24"/>
        </w:rPr>
        <w:t xml:space="preserve">метою скорочення викидів на підприємстві здійснено демонтаж резервуарів Р-25, Р-28 об′ємом </w:t>
      </w:r>
      <w:smartTag w:uri="urn:schemas-microsoft-com:office:smarttags" w:element="metricconverter">
        <w:smartTagPr>
          <w:attr w:name="ProductID" w:val="3000 м3"/>
        </w:smartTagPr>
        <w:r w:rsidR="00C872BC">
          <w:rPr>
            <w:color w:val="000000"/>
            <w:sz w:val="24"/>
            <w:szCs w:val="24"/>
          </w:rPr>
          <w:t>3000 м3</w:t>
        </w:r>
      </w:smartTag>
      <w:r w:rsidR="00C872BC">
        <w:rPr>
          <w:color w:val="000000"/>
          <w:sz w:val="24"/>
          <w:szCs w:val="24"/>
        </w:rPr>
        <w:t xml:space="preserve"> </w:t>
      </w:r>
      <w:proofErr w:type="spellStart"/>
      <w:r w:rsidR="00C872BC">
        <w:rPr>
          <w:color w:val="000000"/>
          <w:sz w:val="24"/>
          <w:szCs w:val="24"/>
        </w:rPr>
        <w:t>промпарку</w:t>
      </w:r>
      <w:proofErr w:type="spellEnd"/>
      <w:r w:rsidR="00C872BC">
        <w:rPr>
          <w:color w:val="000000"/>
          <w:sz w:val="24"/>
          <w:szCs w:val="24"/>
        </w:rPr>
        <w:t xml:space="preserve"> установки каталітичного риформінгу. Через економічні причини та фінансовий стан, більшість виробництв на даний момент законсервовано, тому решта заходів не виконано. Підприємство планує продовжити виконання заходів одразу після відновлення роботи та покращення фінансово-матеріального становища згідно плану-графіку. Для досягнення технологічних нормативів допустимих викидів забруднюючих речовин із теплових установок ТЕЦ, номінальна теплова потужність яких перевищує 50 МВт, передбачено впровадження на котлах низько емісійних пальників (зменшення </w:t>
      </w:r>
      <w:proofErr w:type="spellStart"/>
      <w:r w:rsidR="00C872BC">
        <w:rPr>
          <w:color w:val="000000"/>
          <w:sz w:val="24"/>
          <w:szCs w:val="24"/>
        </w:rPr>
        <w:t>NOx</w:t>
      </w:r>
      <w:proofErr w:type="spellEnd"/>
      <w:r w:rsidR="00C872BC">
        <w:rPr>
          <w:color w:val="000000"/>
          <w:sz w:val="24"/>
          <w:szCs w:val="24"/>
        </w:rPr>
        <w:t xml:space="preserve">); використання технологічних газів зі зменшеним вмістом сірководню (зменшення SO2). При впровадженні природоохоронних заходів будуть досягнені встановлені нормативи гранично допустимих викидів відповідно до затверджених наказом Міністерства охорони навколишнього природного середовища України від 22.10.2008 року №541 (із змінами і доповненнями, внесеними наказом Міністерства екології та природних ресурсів України від 17.09.2015 року №337) технологічних нормативів. </w:t>
      </w:r>
    </w:p>
    <w:p w:rsidR="00C872BC" w:rsidRDefault="00C872BC">
      <w:pPr>
        <w:shd w:val="clear" w:color="auto" w:fill="FFFFFF"/>
        <w:spacing w:before="96" w:after="40"/>
        <w:ind w:firstLine="540"/>
        <w:rPr>
          <w:color w:val="000000"/>
          <w:sz w:val="24"/>
          <w:szCs w:val="24"/>
        </w:rPr>
      </w:pPr>
      <w:r>
        <w:rPr>
          <w:color w:val="000000"/>
          <w:sz w:val="24"/>
          <w:szCs w:val="24"/>
        </w:rPr>
        <w:t>Заходами щодо скорочення викидів забруднюючих речовин передбачено оснащення резервуарів для зберігання нафтопродуктів у проміжних та товарних парках підприємства засобами зменшення викидів (понтонами, плаваючими дахами і т.п.), демонтаж деяких резервуарів та замість них впровадження в експлуатацію резервуарів, оснащених технічними засобами зниження викидів; монтаж газової обв’язки уловлення парів нафти та нафтопродуктів (дизпалива, бензинів) груп резервуарів резервуарного парку зберігання нафти та готової продукції товарно-сировинного цеху; обладнання естакади зливу нафти пристроями відкачки парів при зливі (наливі) цистерн; обладнання зливо-наливної естакади бензину наливними пристроями з уловленням парів.</w:t>
      </w:r>
    </w:p>
    <w:p w:rsidR="00C872BC" w:rsidRDefault="005D685F">
      <w:pPr>
        <w:spacing w:after="120"/>
        <w:rPr>
          <w:color w:val="000000"/>
          <w:sz w:val="24"/>
          <w:szCs w:val="24"/>
        </w:rPr>
      </w:pPr>
      <w:r w:rsidRPr="005D685F">
        <w:rPr>
          <w:color w:val="000000"/>
          <w:sz w:val="24"/>
          <w:szCs w:val="24"/>
        </w:rPr>
        <w:t>П</w:t>
      </w:r>
      <w:r w:rsidR="00C872BC">
        <w:rPr>
          <w:color w:val="000000"/>
          <w:sz w:val="24"/>
          <w:szCs w:val="24"/>
        </w:rPr>
        <w:t>ропозиції щодо дозволених обсягів викидів відповідають чинному законодавству;</w:t>
      </w:r>
    </w:p>
    <w:p w:rsidR="00C872BC" w:rsidRDefault="00C872BC">
      <w:pPr>
        <w:spacing w:after="120"/>
        <w:rPr>
          <w:color w:val="000000"/>
          <w:sz w:val="24"/>
          <w:szCs w:val="24"/>
        </w:rPr>
      </w:pPr>
      <w:r>
        <w:rPr>
          <w:i/>
          <w:color w:val="000000"/>
          <w:sz w:val="24"/>
          <w:szCs w:val="24"/>
        </w:rPr>
        <w:t xml:space="preserve">адреса обласної держадміністрації, до якої можуть надсилатися зауваження та пропозиції громадськості щодо дозволу на викиди </w:t>
      </w:r>
      <w:r>
        <w:rPr>
          <w:i/>
          <w:color w:val="FF0000"/>
          <w:sz w:val="24"/>
          <w:szCs w:val="24"/>
        </w:rPr>
        <w:t xml:space="preserve">– </w:t>
      </w:r>
      <w:r>
        <w:rPr>
          <w:color w:val="000000"/>
          <w:sz w:val="24"/>
          <w:szCs w:val="24"/>
        </w:rPr>
        <w:t xml:space="preserve">Львівська обласна військова (державна) адміністрація, Департамент екології та природних ресурсів ЛОДА (79026 м. Львів, вул. </w:t>
      </w:r>
      <w:proofErr w:type="spellStart"/>
      <w:r>
        <w:rPr>
          <w:color w:val="000000"/>
          <w:sz w:val="24"/>
          <w:szCs w:val="24"/>
        </w:rPr>
        <w:t>Стрийська</w:t>
      </w:r>
      <w:proofErr w:type="spellEnd"/>
      <w:r>
        <w:rPr>
          <w:color w:val="000000"/>
          <w:sz w:val="24"/>
          <w:szCs w:val="24"/>
        </w:rPr>
        <w:t xml:space="preserve">, 98, </w:t>
      </w:r>
      <w:proofErr w:type="spellStart"/>
      <w:r>
        <w:rPr>
          <w:color w:val="000000"/>
          <w:sz w:val="24"/>
          <w:szCs w:val="24"/>
        </w:rPr>
        <w:t>тел</w:t>
      </w:r>
      <w:proofErr w:type="spellEnd"/>
      <w:r>
        <w:rPr>
          <w:color w:val="000000"/>
          <w:sz w:val="24"/>
          <w:szCs w:val="24"/>
        </w:rPr>
        <w:t>. (032) 238-73-83);</w:t>
      </w:r>
    </w:p>
    <w:p w:rsidR="00C872BC" w:rsidRDefault="00C872BC">
      <w:pPr>
        <w:spacing w:after="120"/>
        <w:rPr>
          <w:color w:val="000000"/>
          <w:sz w:val="24"/>
          <w:szCs w:val="24"/>
        </w:rPr>
      </w:pPr>
      <w:r>
        <w:rPr>
          <w:i/>
          <w:color w:val="000000"/>
          <w:sz w:val="24"/>
          <w:szCs w:val="24"/>
        </w:rPr>
        <w:t xml:space="preserve">строки подання зауважень та пропозицій - </w:t>
      </w:r>
      <w:r>
        <w:rPr>
          <w:color w:val="000000"/>
          <w:sz w:val="24"/>
          <w:szCs w:val="24"/>
        </w:rPr>
        <w:t>протягом 30 календарних днів з дати публікації даного повідомлення.</w:t>
      </w:r>
    </w:p>
    <w:p w:rsidR="00C872BC" w:rsidRDefault="00C872BC">
      <w:pPr>
        <w:ind w:firstLine="709"/>
        <w:jc w:val="both"/>
        <w:rPr>
          <w:color w:val="000000"/>
          <w:sz w:val="24"/>
          <w:szCs w:val="24"/>
        </w:rPr>
      </w:pPr>
    </w:p>
    <w:sectPr w:rsidR="00C872BC" w:rsidSect="003F06D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44"/>
    <w:rsid w:val="003F06DB"/>
    <w:rsid w:val="00516C73"/>
    <w:rsid w:val="005D685F"/>
    <w:rsid w:val="006A584C"/>
    <w:rsid w:val="007131C2"/>
    <w:rsid w:val="00805661"/>
    <w:rsid w:val="00860744"/>
    <w:rsid w:val="00872882"/>
    <w:rsid w:val="00B2413F"/>
    <w:rsid w:val="00C872BC"/>
    <w:rsid w:val="00E820A7"/>
    <w:rsid w:val="00FA63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uiPriority w:val="99"/>
    <w:qFormat/>
    <w:pPr>
      <w:keepNext/>
      <w:keepLines/>
      <w:spacing w:before="240" w:after="40"/>
      <w:outlineLvl w:val="3"/>
    </w:pPr>
    <w:rPr>
      <w:b/>
      <w:sz w:val="24"/>
      <w:szCs w:val="24"/>
    </w:rPr>
  </w:style>
  <w:style w:type="paragraph" w:styleId="5">
    <w:name w:val="heading 5"/>
    <w:basedOn w:val="a"/>
    <w:next w:val="a"/>
    <w:link w:val="50"/>
    <w:uiPriority w:val="99"/>
    <w:qFormat/>
    <w:pPr>
      <w:keepNext/>
      <w:keepLines/>
      <w:spacing w:before="220" w:after="40"/>
      <w:outlineLvl w:val="4"/>
    </w:pPr>
    <w:rPr>
      <w:b/>
      <w:sz w:val="22"/>
      <w:szCs w:val="22"/>
    </w:rPr>
  </w:style>
  <w:style w:type="paragraph" w:styleId="6">
    <w:name w:val="heading 6"/>
    <w:basedOn w:val="a"/>
    <w:next w:val="a"/>
    <w:link w:val="60"/>
    <w:uiPriority w:val="99"/>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6E1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66E1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66E1B"/>
    <w:rPr>
      <w:rFonts w:ascii="Cambria" w:eastAsia="Times New Roman" w:hAnsi="Cambria" w:cs="Times New Roman"/>
      <w:b/>
      <w:bCs/>
      <w:sz w:val="26"/>
      <w:szCs w:val="26"/>
    </w:rPr>
  </w:style>
  <w:style w:type="character" w:customStyle="1" w:styleId="40">
    <w:name w:val="Заголовок 4 Знак"/>
    <w:link w:val="4"/>
    <w:uiPriority w:val="9"/>
    <w:semiHidden/>
    <w:rsid w:val="00366E1B"/>
    <w:rPr>
      <w:rFonts w:ascii="Calibri" w:eastAsia="Times New Roman" w:hAnsi="Calibri" w:cs="Times New Roman"/>
      <w:b/>
      <w:bCs/>
      <w:sz w:val="28"/>
      <w:szCs w:val="28"/>
    </w:rPr>
  </w:style>
  <w:style w:type="character" w:customStyle="1" w:styleId="50">
    <w:name w:val="Заголовок 5 Знак"/>
    <w:link w:val="5"/>
    <w:uiPriority w:val="9"/>
    <w:semiHidden/>
    <w:rsid w:val="00366E1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366E1B"/>
    <w:rPr>
      <w:rFonts w:ascii="Calibri" w:eastAsia="Times New Roman" w:hAnsi="Calibri" w:cs="Times New Roman"/>
      <w:b/>
      <w:bCs/>
    </w:rPr>
  </w:style>
  <w:style w:type="paragraph" w:styleId="a3">
    <w:name w:val="Title"/>
    <w:basedOn w:val="a"/>
    <w:next w:val="a"/>
    <w:link w:val="a4"/>
    <w:uiPriority w:val="99"/>
    <w:qFormat/>
    <w:pPr>
      <w:keepNext/>
      <w:keepLines/>
      <w:spacing w:before="480" w:after="120"/>
    </w:pPr>
    <w:rPr>
      <w:b/>
      <w:sz w:val="72"/>
      <w:szCs w:val="72"/>
    </w:rPr>
  </w:style>
  <w:style w:type="character" w:customStyle="1" w:styleId="a4">
    <w:name w:val="Название Знак"/>
    <w:link w:val="a3"/>
    <w:uiPriority w:val="10"/>
    <w:rsid w:val="00366E1B"/>
    <w:rPr>
      <w:rFonts w:ascii="Cambria" w:eastAsia="Times New Roman" w:hAnsi="Cambria" w:cs="Times New Roman"/>
      <w:b/>
      <w:bCs/>
      <w:kern w:val="28"/>
      <w:sz w:val="32"/>
      <w:szCs w:val="32"/>
    </w:rPr>
  </w:style>
  <w:style w:type="paragraph" w:styleId="a5">
    <w:name w:val="Subtitle"/>
    <w:basedOn w:val="a"/>
    <w:next w:val="a"/>
    <w:link w:val="a6"/>
    <w:uiPriority w:val="99"/>
    <w:qFormat/>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366E1B"/>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uiPriority w:val="99"/>
    <w:qFormat/>
    <w:pPr>
      <w:keepNext/>
      <w:keepLines/>
      <w:spacing w:before="240" w:after="40"/>
      <w:outlineLvl w:val="3"/>
    </w:pPr>
    <w:rPr>
      <w:b/>
      <w:sz w:val="24"/>
      <w:szCs w:val="24"/>
    </w:rPr>
  </w:style>
  <w:style w:type="paragraph" w:styleId="5">
    <w:name w:val="heading 5"/>
    <w:basedOn w:val="a"/>
    <w:next w:val="a"/>
    <w:link w:val="50"/>
    <w:uiPriority w:val="99"/>
    <w:qFormat/>
    <w:pPr>
      <w:keepNext/>
      <w:keepLines/>
      <w:spacing w:before="220" w:after="40"/>
      <w:outlineLvl w:val="4"/>
    </w:pPr>
    <w:rPr>
      <w:b/>
      <w:sz w:val="22"/>
      <w:szCs w:val="22"/>
    </w:rPr>
  </w:style>
  <w:style w:type="paragraph" w:styleId="6">
    <w:name w:val="heading 6"/>
    <w:basedOn w:val="a"/>
    <w:next w:val="a"/>
    <w:link w:val="60"/>
    <w:uiPriority w:val="99"/>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6E1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66E1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66E1B"/>
    <w:rPr>
      <w:rFonts w:ascii="Cambria" w:eastAsia="Times New Roman" w:hAnsi="Cambria" w:cs="Times New Roman"/>
      <w:b/>
      <w:bCs/>
      <w:sz w:val="26"/>
      <w:szCs w:val="26"/>
    </w:rPr>
  </w:style>
  <w:style w:type="character" w:customStyle="1" w:styleId="40">
    <w:name w:val="Заголовок 4 Знак"/>
    <w:link w:val="4"/>
    <w:uiPriority w:val="9"/>
    <w:semiHidden/>
    <w:rsid w:val="00366E1B"/>
    <w:rPr>
      <w:rFonts w:ascii="Calibri" w:eastAsia="Times New Roman" w:hAnsi="Calibri" w:cs="Times New Roman"/>
      <w:b/>
      <w:bCs/>
      <w:sz w:val="28"/>
      <w:szCs w:val="28"/>
    </w:rPr>
  </w:style>
  <w:style w:type="character" w:customStyle="1" w:styleId="50">
    <w:name w:val="Заголовок 5 Знак"/>
    <w:link w:val="5"/>
    <w:uiPriority w:val="9"/>
    <w:semiHidden/>
    <w:rsid w:val="00366E1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366E1B"/>
    <w:rPr>
      <w:rFonts w:ascii="Calibri" w:eastAsia="Times New Roman" w:hAnsi="Calibri" w:cs="Times New Roman"/>
      <w:b/>
      <w:bCs/>
    </w:rPr>
  </w:style>
  <w:style w:type="paragraph" w:styleId="a3">
    <w:name w:val="Title"/>
    <w:basedOn w:val="a"/>
    <w:next w:val="a"/>
    <w:link w:val="a4"/>
    <w:uiPriority w:val="99"/>
    <w:qFormat/>
    <w:pPr>
      <w:keepNext/>
      <w:keepLines/>
      <w:spacing w:before="480" w:after="120"/>
    </w:pPr>
    <w:rPr>
      <w:b/>
      <w:sz w:val="72"/>
      <w:szCs w:val="72"/>
    </w:rPr>
  </w:style>
  <w:style w:type="character" w:customStyle="1" w:styleId="a4">
    <w:name w:val="Название Знак"/>
    <w:link w:val="a3"/>
    <w:uiPriority w:val="10"/>
    <w:rsid w:val="00366E1B"/>
    <w:rPr>
      <w:rFonts w:ascii="Cambria" w:eastAsia="Times New Roman" w:hAnsi="Cambria" w:cs="Times New Roman"/>
      <w:b/>
      <w:bCs/>
      <w:kern w:val="28"/>
      <w:sz w:val="32"/>
      <w:szCs w:val="32"/>
    </w:rPr>
  </w:style>
  <w:style w:type="paragraph" w:styleId="a5">
    <w:name w:val="Subtitle"/>
    <w:basedOn w:val="a"/>
    <w:next w:val="a"/>
    <w:link w:val="a6"/>
    <w:uiPriority w:val="99"/>
    <w:qFormat/>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366E1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u064_22?ed=2023_02_06" TargetMode="External"/><Relationship Id="rId13" Type="http://schemas.openxmlformats.org/officeDocument/2006/relationships/hyperlink" Target="https://ips.ligazakon.net/document/view/re39637?ed=2023_04_11&amp;an=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s.ligazakon.net/document/view/re39637?ed=2023_04_11&amp;an=34" TargetMode="External"/><Relationship Id="rId12" Type="http://schemas.openxmlformats.org/officeDocument/2006/relationships/hyperlink" Target="https://zakon.rada.gov.ua/laws/show/89-2023-%D1%8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ips.ligazakon.net/document/view/t222102?ed=2022_02_24" TargetMode="External"/><Relationship Id="rId1" Type="http://schemas.openxmlformats.org/officeDocument/2006/relationships/styles" Target="styles.xml"/><Relationship Id="rId6" Type="http://schemas.openxmlformats.org/officeDocument/2006/relationships/hyperlink" Target="https://zakon.rada.gov.ua/laws/show/89-2023-%D1%80" TargetMode="External"/><Relationship Id="rId11" Type="http://schemas.openxmlformats.org/officeDocument/2006/relationships/hyperlink" Target="https://zakon.rada.gov.ua/laws/show/1413-2019-%D1%80" TargetMode="External"/><Relationship Id="rId5" Type="http://schemas.openxmlformats.org/officeDocument/2006/relationships/hyperlink" Target="https://zakon.rada.gov.ua/laws/show/1413-2019-%D1%80" TargetMode="External"/><Relationship Id="rId15" Type="http://schemas.openxmlformats.org/officeDocument/2006/relationships/hyperlink" Target="https://ips.ligazakon.net/document/view/re39637?ed=2023_04_11&amp;an=34" TargetMode="External"/><Relationship Id="rId10" Type="http://schemas.openxmlformats.org/officeDocument/2006/relationships/hyperlink" Target="https://ips.ligazakon.net/document/view/t222102?ed=2022_02_24" TargetMode="External"/><Relationship Id="rId4" Type="http://schemas.openxmlformats.org/officeDocument/2006/relationships/webSettings" Target="webSettings.xml"/><Relationship Id="rId9" Type="http://schemas.openxmlformats.org/officeDocument/2006/relationships/hyperlink" Target="https://ips.ligazakon.net/document/view/re39637?ed=2023_04_11&amp;an=34" TargetMode="External"/><Relationship Id="rId14" Type="http://schemas.openxmlformats.org/officeDocument/2006/relationships/hyperlink" Target="https://ips.ligazakon.net/document/view/u064_22?ed=2023_02_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6129</Words>
  <Characters>3494</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Тарасенко Ольга Володимирівна</dc:creator>
  <cp:lastModifiedBy>Тарасенко Ольга Володимирівна</cp:lastModifiedBy>
  <cp:revision>2</cp:revision>
  <dcterms:created xsi:type="dcterms:W3CDTF">2024-05-31T10:49:00Z</dcterms:created>
  <dcterms:modified xsi:type="dcterms:W3CDTF">2024-05-31T10:49:00Z</dcterms:modified>
</cp:coreProperties>
</file>