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626C9" w14:textId="48A832A2" w:rsidR="00A344B4" w:rsidRPr="0084415C" w:rsidRDefault="00A344B4" w:rsidP="00A344B4">
      <w:pPr>
        <w:pStyle w:val="2"/>
        <w:spacing w:before="0" w:after="0"/>
        <w:jc w:val="right"/>
        <w:rPr>
          <w:i w:val="0"/>
          <w:iCs/>
        </w:rPr>
      </w:pPr>
      <w:bookmarkStart w:id="0" w:name="_Toc511130904"/>
      <w:bookmarkStart w:id="1" w:name="_Toc525563025"/>
      <w:bookmarkStart w:id="2" w:name="_Toc3472193"/>
      <w:r w:rsidRPr="0021797A">
        <w:rPr>
          <w:rStyle w:val="rvts9"/>
          <w:i w:val="0"/>
          <w:iCs/>
          <w:shd w:val="clear" w:color="auto" w:fill="FFFFFF"/>
        </w:rPr>
        <w:t>ЗАТВЕРДЖЕНО</w:t>
      </w:r>
      <w:r w:rsidRPr="0021797A">
        <w:rPr>
          <w:i w:val="0"/>
          <w:iCs/>
        </w:rPr>
        <w:br/>
      </w:r>
      <w:r w:rsidRPr="0084415C">
        <w:rPr>
          <w:rStyle w:val="rvts9"/>
          <w:i w:val="0"/>
          <w:iCs/>
          <w:shd w:val="clear" w:color="auto" w:fill="FFFFFF"/>
        </w:rPr>
        <w:t>постановою Кабінету Міністрів України</w:t>
      </w:r>
      <w:r w:rsidRPr="0084415C">
        <w:rPr>
          <w:i w:val="0"/>
          <w:iCs/>
        </w:rPr>
        <w:br/>
      </w:r>
      <w:r w:rsidRPr="0084415C">
        <w:rPr>
          <w:rStyle w:val="rvts9"/>
          <w:i w:val="0"/>
          <w:iCs/>
          <w:shd w:val="clear" w:color="auto" w:fill="FFFFFF"/>
        </w:rPr>
        <w:t>від _____ р. № _____</w:t>
      </w:r>
    </w:p>
    <w:p w14:paraId="34AAC1D7" w14:textId="77777777" w:rsidR="00A344B4" w:rsidRPr="0084415C" w:rsidRDefault="00A344B4" w:rsidP="00A344B4">
      <w:pPr>
        <w:pStyle w:val="2"/>
        <w:spacing w:before="0" w:after="0"/>
      </w:pPr>
    </w:p>
    <w:p w14:paraId="3A8C0D8A" w14:textId="77777777" w:rsidR="005E4978" w:rsidRDefault="005E4978" w:rsidP="00596785">
      <w:pPr>
        <w:pStyle w:val="2"/>
        <w:spacing w:before="0" w:after="0"/>
        <w:ind w:firstLine="0"/>
        <w:jc w:val="center"/>
        <w:rPr>
          <w:i w:val="0"/>
          <w:iCs/>
        </w:rPr>
      </w:pPr>
    </w:p>
    <w:p w14:paraId="15DB2043" w14:textId="77777777" w:rsidR="00A344B4" w:rsidRPr="005E4978" w:rsidRDefault="00A344B4" w:rsidP="00596785">
      <w:pPr>
        <w:pStyle w:val="2"/>
        <w:spacing w:before="0" w:after="0"/>
        <w:ind w:firstLine="0"/>
        <w:jc w:val="center"/>
        <w:rPr>
          <w:i w:val="0"/>
          <w:iCs/>
        </w:rPr>
      </w:pPr>
      <w:r w:rsidRPr="005E4978">
        <w:rPr>
          <w:i w:val="0"/>
          <w:iCs/>
        </w:rPr>
        <w:t>ПОРЯДОК</w:t>
      </w:r>
    </w:p>
    <w:p w14:paraId="127164F0" w14:textId="321DF79B" w:rsidR="00A344B4" w:rsidRPr="005E4978" w:rsidRDefault="00596785" w:rsidP="00596785">
      <w:pPr>
        <w:ind w:firstLine="0"/>
        <w:jc w:val="center"/>
      </w:pPr>
      <w:r w:rsidRPr="005E4978">
        <w:rPr>
          <w:b/>
          <w:bCs/>
          <w:iCs/>
        </w:rPr>
        <w:t xml:space="preserve">проведення </w:t>
      </w:r>
      <w:r w:rsidR="00060F2F" w:rsidRPr="005E4978">
        <w:rPr>
          <w:b/>
          <w:bCs/>
          <w:iCs/>
        </w:rPr>
        <w:t>моніторингу загроз хімічній безпеці</w:t>
      </w:r>
      <w:r w:rsidRPr="005E4978">
        <w:rPr>
          <w:b/>
          <w:bCs/>
          <w:iCs/>
        </w:rPr>
        <w:t xml:space="preserve"> та</w:t>
      </w:r>
      <w:r w:rsidR="00060F2F" w:rsidRPr="005E4978">
        <w:rPr>
          <w:b/>
          <w:bCs/>
          <w:iCs/>
        </w:rPr>
        <w:t xml:space="preserve"> </w:t>
      </w:r>
      <w:r w:rsidR="00A344B4" w:rsidRPr="005E4978">
        <w:rPr>
          <w:b/>
          <w:bCs/>
          <w:iCs/>
        </w:rPr>
        <w:t xml:space="preserve">виявлення </w:t>
      </w:r>
      <w:r w:rsidRPr="005E4978">
        <w:rPr>
          <w:b/>
          <w:bCs/>
          <w:iCs/>
        </w:rPr>
        <w:t xml:space="preserve">їх </w:t>
      </w:r>
      <w:r w:rsidR="00A344B4" w:rsidRPr="005E4978">
        <w:rPr>
          <w:b/>
          <w:bCs/>
          <w:iCs/>
        </w:rPr>
        <w:t>д</w:t>
      </w:r>
      <w:r w:rsidRPr="005E4978">
        <w:rPr>
          <w:b/>
          <w:bCs/>
          <w:iCs/>
        </w:rPr>
        <w:t>жерел</w:t>
      </w:r>
    </w:p>
    <w:p w14:paraId="674360C2" w14:textId="77777777" w:rsidR="0021797A" w:rsidRPr="005E4978" w:rsidRDefault="0021797A" w:rsidP="0021797A">
      <w:pPr>
        <w:spacing w:before="0" w:after="0"/>
        <w:ind w:firstLine="567"/>
      </w:pPr>
    </w:p>
    <w:p w14:paraId="032ACE97" w14:textId="6A06B666" w:rsidR="00A344B4" w:rsidRPr="005E4978" w:rsidRDefault="00A344B4" w:rsidP="00133D82">
      <w:pPr>
        <w:spacing w:before="0" w:after="120"/>
        <w:ind w:firstLine="567"/>
      </w:pPr>
      <w:r w:rsidRPr="005E4978">
        <w:t xml:space="preserve">1. Цей Порядок визначає </w:t>
      </w:r>
      <w:r w:rsidR="00553D6A" w:rsidRPr="005E4978">
        <w:t>процедур</w:t>
      </w:r>
      <w:r w:rsidR="00A71A62" w:rsidRPr="005E4978">
        <w:t>у</w:t>
      </w:r>
      <w:r w:rsidRPr="005E4978">
        <w:t xml:space="preserve"> </w:t>
      </w:r>
      <w:bookmarkStart w:id="3" w:name="_Hlk156737052"/>
      <w:r w:rsidR="0021797A" w:rsidRPr="005E4978">
        <w:t xml:space="preserve">проведення моніторингу загроз хімічній безпеці та </w:t>
      </w:r>
      <w:r w:rsidRPr="005E4978">
        <w:t xml:space="preserve">виявлення </w:t>
      </w:r>
      <w:r w:rsidR="00A25F70" w:rsidRPr="005E4978">
        <w:t>їх джерел</w:t>
      </w:r>
      <w:bookmarkEnd w:id="3"/>
      <w:r w:rsidRPr="005E4978">
        <w:t>.</w:t>
      </w:r>
    </w:p>
    <w:p w14:paraId="53F286AE" w14:textId="1B60B12A" w:rsidR="00A344B4" w:rsidRPr="005E4978" w:rsidRDefault="00A71A62" w:rsidP="0021797A">
      <w:pPr>
        <w:spacing w:before="0" w:after="120"/>
        <w:ind w:firstLine="567"/>
      </w:pPr>
      <w:r w:rsidRPr="005E4978">
        <w:t>2</w:t>
      </w:r>
      <w:r w:rsidR="00A344B4" w:rsidRPr="005E4978">
        <w:t xml:space="preserve">. </w:t>
      </w:r>
      <w:r w:rsidRPr="005E4978">
        <w:t>У цьому Порядку терміни вживаються у значенні, наведеному в Законі України «Про забезпечення хімічної безпеки та управління хімічною продукцією» (далі – Закон)</w:t>
      </w:r>
      <w:r w:rsidR="00A344B4" w:rsidRPr="005E4978">
        <w:t>.</w:t>
      </w:r>
    </w:p>
    <w:p w14:paraId="0F836122" w14:textId="0055A6B0" w:rsidR="00133D82" w:rsidRDefault="00A71A62" w:rsidP="00133D82">
      <w:pPr>
        <w:spacing w:before="0" w:after="120"/>
        <w:ind w:firstLine="567"/>
      </w:pPr>
      <w:r w:rsidRPr="005E4978">
        <w:t>3</w:t>
      </w:r>
      <w:r w:rsidR="00A344B4" w:rsidRPr="005E4978">
        <w:t xml:space="preserve">. </w:t>
      </w:r>
      <w:r w:rsidRPr="005E4978">
        <w:rPr>
          <w:shd w:val="clear" w:color="auto" w:fill="FFFFFF"/>
        </w:rPr>
        <w:t>Моніторинг загроз хімічній безпеці здійснюється з метою оперативного виявлення загроз хімічній безпеці, перевірки рівня загроз хімічній безпеці з відомих джерел, здійснення відповідних заходів щодо мінімізації таких загроз і ризиків, а також з метою перевірки ефективності реалізованих заходів щодо мінімізації загроз хімічній безпеці та контролю ризиків</w:t>
      </w:r>
      <w:r w:rsidR="00133D82">
        <w:t xml:space="preserve"> та</w:t>
      </w:r>
      <w:r w:rsidR="00133D82" w:rsidRPr="005E4978">
        <w:t xml:space="preserve"> поширюється на інформацію щодо небезпечних властивостей хімічних речовин, обсягів їх виробництва, імпорту та надання на ринку, результатів оцінки ризиків, фактичного або потенційного негативного впливу хімічної продукції на здоров’я людини та довкілля, статистичну інформацію, а також на іншу інформацію стосовно загроз хімічній безпеці, що міститься у Інформаційній системі забезпечення хімічної безпеки.</w:t>
      </w:r>
    </w:p>
    <w:p w14:paraId="41722850" w14:textId="3EE6FD92" w:rsidR="003855B9" w:rsidRPr="005E4978" w:rsidRDefault="003855B9" w:rsidP="003855B9">
      <w:pPr>
        <w:spacing w:before="0" w:after="120"/>
        <w:ind w:firstLine="567"/>
      </w:pPr>
      <w:r>
        <w:t>4.</w:t>
      </w:r>
      <w:r w:rsidRPr="003855B9">
        <w:t xml:space="preserve"> </w:t>
      </w:r>
      <w:r w:rsidRPr="005E4978">
        <w:t>Моніторинг загроз хімічній безпеці включає етапи</w:t>
      </w:r>
      <w:r>
        <w:t>, визначені частиною третьою статті 26 Закону.</w:t>
      </w:r>
    </w:p>
    <w:p w14:paraId="36511974" w14:textId="26CBE231" w:rsidR="00F6123B" w:rsidRPr="005E4978" w:rsidRDefault="003855B9" w:rsidP="003855B9">
      <w:pPr>
        <w:spacing w:before="0" w:after="120"/>
        <w:ind w:firstLine="567"/>
      </w:pPr>
      <w:r>
        <w:t>5</w:t>
      </w:r>
      <w:r w:rsidR="00F6123B" w:rsidRPr="005E4978">
        <w:t xml:space="preserve">. </w:t>
      </w:r>
      <w:r w:rsidR="0021797A" w:rsidRPr="005E4978">
        <w:t>М</w:t>
      </w:r>
      <w:r w:rsidR="003B79CE" w:rsidRPr="005E4978">
        <w:t xml:space="preserve">оніторинг загроз хімічній безпеці </w:t>
      </w:r>
      <w:r w:rsidR="0021797A" w:rsidRPr="005E4978">
        <w:t xml:space="preserve">та виявлення їх джерел </w:t>
      </w:r>
      <w:r w:rsidR="003B79CE" w:rsidRPr="005E4978">
        <w:t xml:space="preserve">здійснює </w:t>
      </w:r>
      <w:r w:rsidR="00A71A62" w:rsidRPr="005E4978">
        <w:t>Міндовкілля</w:t>
      </w:r>
      <w:r w:rsidR="003B79CE" w:rsidRPr="005E4978">
        <w:t>.</w:t>
      </w:r>
    </w:p>
    <w:bookmarkEnd w:id="0"/>
    <w:bookmarkEnd w:id="1"/>
    <w:bookmarkEnd w:id="2"/>
    <w:p w14:paraId="51ED9223" w14:textId="01F78431" w:rsidR="00137D9A" w:rsidRPr="005E4978" w:rsidRDefault="00F97359" w:rsidP="00C77CF3">
      <w:pPr>
        <w:spacing w:before="0" w:after="0"/>
        <w:ind w:firstLine="567"/>
      </w:pPr>
      <w:r w:rsidRPr="005E4978">
        <w:t>6</w:t>
      </w:r>
      <w:r w:rsidR="00A344B4" w:rsidRPr="005E4978">
        <w:t xml:space="preserve">. </w:t>
      </w:r>
      <w:r w:rsidR="006553E7" w:rsidRPr="005E4978">
        <w:t>Міндовкілля</w:t>
      </w:r>
      <w:r w:rsidR="00A344B4" w:rsidRPr="005E4978">
        <w:t xml:space="preserve"> </w:t>
      </w:r>
      <w:r w:rsidR="00691CE1" w:rsidRPr="005E4978">
        <w:t>здійснює збір необхідних даних</w:t>
      </w:r>
      <w:r w:rsidR="003C23C5" w:rsidRPr="005E4978">
        <w:t xml:space="preserve"> для проведення моніторин</w:t>
      </w:r>
      <w:r w:rsidR="00884001" w:rsidRPr="005E4978">
        <w:t>г</w:t>
      </w:r>
      <w:r w:rsidR="003C23C5" w:rsidRPr="005E4978">
        <w:t xml:space="preserve">у </w:t>
      </w:r>
      <w:r w:rsidR="00B63804" w:rsidRPr="005E4978">
        <w:t>загроз хімічній безпеці</w:t>
      </w:r>
      <w:r w:rsidR="00ED7D80" w:rsidRPr="005E4978">
        <w:t xml:space="preserve"> та виявлення їх джерел</w:t>
      </w:r>
      <w:r w:rsidR="00B63804" w:rsidRPr="005E4978">
        <w:t xml:space="preserve"> </w:t>
      </w:r>
      <w:r w:rsidR="003C23C5" w:rsidRPr="005E4978">
        <w:t>шляхом</w:t>
      </w:r>
      <w:r w:rsidR="00137D9A" w:rsidRPr="005E4978">
        <w:t xml:space="preserve"> отримання інформації:</w:t>
      </w:r>
    </w:p>
    <w:p w14:paraId="4B0AD72A" w14:textId="13D17A58" w:rsidR="003C23C5" w:rsidRPr="005E4978" w:rsidRDefault="00137D9A" w:rsidP="00C77CF3">
      <w:pPr>
        <w:spacing w:before="0" w:after="0"/>
        <w:ind w:firstLine="567"/>
      </w:pPr>
      <w:r w:rsidRPr="005E4978">
        <w:t>від уповноважених органів виконавчої влади у сфері забезпечення хімічної безпеки та управління хімічною продукцією</w:t>
      </w:r>
      <w:r w:rsidR="00AD779B">
        <w:t xml:space="preserve"> </w:t>
      </w:r>
      <w:r w:rsidR="00AD779B" w:rsidRPr="005E4978">
        <w:t>(далі – уповноважені органи)</w:t>
      </w:r>
      <w:r w:rsidRPr="005E4978">
        <w:t xml:space="preserve"> щодо виявлених ознак наявності загроз хімічній безпеці;</w:t>
      </w:r>
    </w:p>
    <w:p w14:paraId="25D25E31" w14:textId="25B44EF9" w:rsidR="00137D9A" w:rsidRPr="005E4978" w:rsidRDefault="00137D9A" w:rsidP="00137D9A">
      <w:pPr>
        <w:spacing w:before="0" w:after="0"/>
        <w:ind w:firstLine="567"/>
      </w:pPr>
      <w:r w:rsidRPr="005E4978">
        <w:t>від експертів</w:t>
      </w:r>
      <w:r w:rsidR="00DE79CA" w:rsidRPr="005E4978">
        <w:t>, промислови</w:t>
      </w:r>
      <w:r w:rsidRPr="005E4978">
        <w:t>х</w:t>
      </w:r>
      <w:r w:rsidR="00D70071">
        <w:t xml:space="preserve"> асоціа</w:t>
      </w:r>
      <w:r w:rsidRPr="005E4978">
        <w:t>цій</w:t>
      </w:r>
      <w:r w:rsidR="00DE79CA" w:rsidRPr="005E4978">
        <w:t>, недержавни</w:t>
      </w:r>
      <w:r w:rsidRPr="005E4978">
        <w:t>х</w:t>
      </w:r>
      <w:r w:rsidR="00DE79CA" w:rsidRPr="005E4978">
        <w:t xml:space="preserve"> установ та громадськ</w:t>
      </w:r>
      <w:r w:rsidRPr="005E4978">
        <w:t>о</w:t>
      </w:r>
      <w:r w:rsidR="00DE79CA" w:rsidRPr="005E4978">
        <w:t>ст</w:t>
      </w:r>
      <w:r w:rsidRPr="005E4978">
        <w:t>і;</w:t>
      </w:r>
    </w:p>
    <w:p w14:paraId="449E7851" w14:textId="39BA93E2" w:rsidR="00691CE1" w:rsidRPr="005E4978" w:rsidRDefault="00691CE1" w:rsidP="00137D9A">
      <w:pPr>
        <w:spacing w:before="0" w:after="0"/>
        <w:ind w:firstLine="567"/>
      </w:pPr>
      <w:r w:rsidRPr="005E4978">
        <w:rPr>
          <w:shd w:val="clear" w:color="auto" w:fill="FFFFFF"/>
        </w:rPr>
        <w:t>від суб’єктів господарювання хімічної галузі промисловості;</w:t>
      </w:r>
      <w:r w:rsidRPr="005E4978">
        <w:t xml:space="preserve"> </w:t>
      </w:r>
    </w:p>
    <w:p w14:paraId="11CC30EC" w14:textId="1C712A9A" w:rsidR="00137D9A" w:rsidRPr="005E4978" w:rsidRDefault="00137D9A" w:rsidP="00691CE1">
      <w:pPr>
        <w:spacing w:before="0" w:after="120"/>
        <w:ind w:firstLine="567"/>
      </w:pPr>
      <w:r w:rsidRPr="005E4978">
        <w:t>з Інформаційної систем</w:t>
      </w:r>
      <w:r w:rsidR="00691CE1" w:rsidRPr="005E4978">
        <w:t xml:space="preserve">и забезпечення хімічної безпеки </w:t>
      </w:r>
      <w:r w:rsidR="00691CE1" w:rsidRPr="005E4978">
        <w:rPr>
          <w:shd w:val="clear" w:color="auto" w:fill="FFFFFF"/>
        </w:rPr>
        <w:t>та доступних відкритих джерел інформації</w:t>
      </w:r>
      <w:r w:rsidR="00691CE1" w:rsidRPr="005E4978">
        <w:t>.</w:t>
      </w:r>
    </w:p>
    <w:p w14:paraId="399AECB2" w14:textId="049B47E9" w:rsidR="00C77CF3" w:rsidRPr="005E4978" w:rsidRDefault="00C77CF3" w:rsidP="00C77CF3">
      <w:pPr>
        <w:spacing w:before="0" w:after="120"/>
        <w:ind w:firstLine="567"/>
        <w:rPr>
          <w:shd w:val="clear" w:color="auto" w:fill="FFFFFF"/>
        </w:rPr>
      </w:pPr>
      <w:r>
        <w:t>7</w:t>
      </w:r>
      <w:r w:rsidRPr="005E4978">
        <w:t>.</w:t>
      </w:r>
      <w:r w:rsidRPr="005E4978">
        <w:rPr>
          <w:b/>
        </w:rPr>
        <w:t xml:space="preserve"> </w:t>
      </w:r>
      <w:r w:rsidRPr="005E4978">
        <w:rPr>
          <w:shd w:val="clear" w:color="auto" w:fill="FFFFFF"/>
        </w:rPr>
        <w:t>Основні джерела загроз хімічній безпеці визначені статтею 22 Закону.</w:t>
      </w:r>
    </w:p>
    <w:p w14:paraId="675A2D30" w14:textId="5886E010" w:rsidR="00F97359" w:rsidRPr="005E4978" w:rsidRDefault="00C77CF3" w:rsidP="00553F6E">
      <w:pPr>
        <w:spacing w:before="0" w:after="120"/>
        <w:ind w:firstLine="567"/>
      </w:pPr>
      <w:r>
        <w:t>8</w:t>
      </w:r>
      <w:r w:rsidR="00137D9A" w:rsidRPr="005E4978">
        <w:t xml:space="preserve">. У разі </w:t>
      </w:r>
      <w:r w:rsidR="00F97359" w:rsidRPr="005E4978">
        <w:t>виявлення</w:t>
      </w:r>
      <w:r w:rsidR="00137D9A" w:rsidRPr="005E4978">
        <w:t xml:space="preserve"> ознак</w:t>
      </w:r>
      <w:r w:rsidR="00690017">
        <w:t xml:space="preserve"> наявності</w:t>
      </w:r>
      <w:r w:rsidR="00137D9A" w:rsidRPr="005E4978">
        <w:t xml:space="preserve"> </w:t>
      </w:r>
      <w:r w:rsidR="00137D9A" w:rsidRPr="005E4978">
        <w:rPr>
          <w:shd w:val="clear" w:color="auto" w:fill="FFFFFF"/>
        </w:rPr>
        <w:t>загроз хімічній безпеці, визначених частиною четвертою статті 26 Закону,</w:t>
      </w:r>
      <w:r w:rsidR="006E7D12" w:rsidRPr="005E4978">
        <w:t xml:space="preserve"> </w:t>
      </w:r>
      <w:bookmarkStart w:id="4" w:name="_Hlk156737926"/>
      <w:r w:rsidR="00137D9A" w:rsidRPr="005E4978">
        <w:t>у</w:t>
      </w:r>
      <w:r w:rsidR="006E7D12" w:rsidRPr="005E4978">
        <w:t xml:space="preserve">повноважені </w:t>
      </w:r>
      <w:bookmarkEnd w:id="4"/>
      <w:r w:rsidR="00EC5E34">
        <w:t xml:space="preserve">органи </w:t>
      </w:r>
      <w:r w:rsidR="00137D9A" w:rsidRPr="005E4978">
        <w:rPr>
          <w:shd w:val="clear" w:color="auto" w:fill="FFFFFF"/>
        </w:rPr>
        <w:t xml:space="preserve">у межах своїх </w:t>
      </w:r>
      <w:r w:rsidR="00137D9A" w:rsidRPr="005E4978">
        <w:rPr>
          <w:shd w:val="clear" w:color="auto" w:fill="FFFFFF"/>
        </w:rPr>
        <w:lastRenderedPageBreak/>
        <w:t>повноважень</w:t>
      </w:r>
      <w:r w:rsidR="00137D9A" w:rsidRPr="005E4978">
        <w:t xml:space="preserve"> </w:t>
      </w:r>
      <w:r w:rsidR="00137D9A" w:rsidRPr="005E4978">
        <w:rPr>
          <w:shd w:val="clear" w:color="auto" w:fill="FFFFFF"/>
        </w:rPr>
        <w:t>нада</w:t>
      </w:r>
      <w:r w:rsidR="00C44836" w:rsidRPr="005E4978">
        <w:rPr>
          <w:shd w:val="clear" w:color="auto" w:fill="FFFFFF"/>
        </w:rPr>
        <w:t>ють</w:t>
      </w:r>
      <w:r w:rsidR="00137D9A" w:rsidRPr="005E4978">
        <w:rPr>
          <w:shd w:val="clear" w:color="auto" w:fill="FFFFFF"/>
        </w:rPr>
        <w:t xml:space="preserve"> відповідну інформацію</w:t>
      </w:r>
      <w:r w:rsidR="0097194C" w:rsidRPr="005E4978">
        <w:t xml:space="preserve"> до </w:t>
      </w:r>
      <w:r w:rsidR="00553F6E">
        <w:t>Міндовкілля разом з пропозиціями</w:t>
      </w:r>
      <w:r w:rsidR="009B797D" w:rsidRPr="005E4978">
        <w:t xml:space="preserve"> щодо</w:t>
      </w:r>
      <w:r w:rsidR="00F97359" w:rsidRPr="005E4978">
        <w:t xml:space="preserve"> заходів </w:t>
      </w:r>
      <w:r w:rsidR="00F97359" w:rsidRPr="005E4978">
        <w:rPr>
          <w:bCs/>
        </w:rPr>
        <w:t>мінімізації загроз хімічній безпеці</w:t>
      </w:r>
      <w:r w:rsidR="009B797D" w:rsidRPr="005E4978">
        <w:t>.</w:t>
      </w:r>
    </w:p>
    <w:p w14:paraId="4A6162FC" w14:textId="0A81216D" w:rsidR="00E2512D" w:rsidRPr="005E4978" w:rsidRDefault="005E4978" w:rsidP="009B797D">
      <w:pPr>
        <w:spacing w:before="0" w:after="0"/>
        <w:ind w:firstLine="567"/>
      </w:pPr>
      <w:r w:rsidRPr="005E4978">
        <w:t>9</w:t>
      </w:r>
      <w:r w:rsidR="00E2512D" w:rsidRPr="005E4978">
        <w:t xml:space="preserve">. </w:t>
      </w:r>
      <w:r w:rsidR="00BE6F69">
        <w:t>Д</w:t>
      </w:r>
      <w:r w:rsidR="00453CEF" w:rsidRPr="005E4978">
        <w:t>ля визначення окремої загрози хімічній безпеці Міндовкілля</w:t>
      </w:r>
      <w:r w:rsidR="003D5892" w:rsidRPr="005E4978">
        <w:t xml:space="preserve"> встанов</w:t>
      </w:r>
      <w:r w:rsidR="00453CEF" w:rsidRPr="005E4978">
        <w:t>лює</w:t>
      </w:r>
      <w:r w:rsidR="003D5892" w:rsidRPr="005E4978">
        <w:t xml:space="preserve"> взаємозв’язок між загрозою хімічній безпеці та її джерелом,</w:t>
      </w:r>
      <w:r w:rsidR="000F0712" w:rsidRPr="005E4978">
        <w:t xml:space="preserve"> а також оцін</w:t>
      </w:r>
      <w:r w:rsidR="002F33A7" w:rsidRPr="005E4978">
        <w:t>ює</w:t>
      </w:r>
      <w:r w:rsidR="00F97359" w:rsidRPr="005E4978">
        <w:t xml:space="preserve"> рівень</w:t>
      </w:r>
      <w:r w:rsidR="003D5892" w:rsidRPr="005E4978">
        <w:t xml:space="preserve"> </w:t>
      </w:r>
      <w:r w:rsidR="000F0712" w:rsidRPr="005E4978">
        <w:t xml:space="preserve">загрози </w:t>
      </w:r>
      <w:r w:rsidR="003D5892" w:rsidRPr="005E4978">
        <w:t>враховуючи:</w:t>
      </w:r>
    </w:p>
    <w:p w14:paraId="1A7BD9FF" w14:textId="551D25B3" w:rsidR="003D5892" w:rsidRPr="005E4978" w:rsidRDefault="00691CE1" w:rsidP="009B797D">
      <w:pPr>
        <w:pStyle w:val="a3"/>
        <w:spacing w:before="0" w:after="0"/>
        <w:ind w:left="0" w:firstLine="567"/>
        <w:rPr>
          <w:strike/>
        </w:rPr>
      </w:pPr>
      <w:r w:rsidRPr="005E4978">
        <w:t>характер виникнення загрози;</w:t>
      </w:r>
    </w:p>
    <w:p w14:paraId="5E11852B" w14:textId="515DC7C8" w:rsidR="003D5892" w:rsidRPr="005E4978" w:rsidRDefault="003D5892" w:rsidP="009B797D">
      <w:pPr>
        <w:spacing w:before="0" w:after="0"/>
        <w:ind w:firstLine="567"/>
        <w:contextualSpacing/>
        <w:rPr>
          <w:strike/>
        </w:rPr>
      </w:pPr>
      <w:r w:rsidRPr="005E4978">
        <w:t>класифікацію небезпечності хімічної продукції</w:t>
      </w:r>
      <w:r w:rsidR="00691CE1" w:rsidRPr="005E4978">
        <w:t>;</w:t>
      </w:r>
    </w:p>
    <w:p w14:paraId="6E0A2E62" w14:textId="00928C74" w:rsidR="003D5892" w:rsidRPr="005E4978" w:rsidRDefault="003D5892" w:rsidP="009B797D">
      <w:pPr>
        <w:pStyle w:val="a3"/>
        <w:spacing w:before="0" w:after="120"/>
        <w:ind w:left="0" w:firstLine="567"/>
        <w:contextualSpacing w:val="0"/>
      </w:pPr>
      <w:r w:rsidRPr="005E4978">
        <w:t>масштаб загрози</w:t>
      </w:r>
      <w:r w:rsidR="000F452F" w:rsidRPr="005E4978">
        <w:t>,</w:t>
      </w:r>
      <w:r w:rsidRPr="005E4978">
        <w:t xml:space="preserve"> </w:t>
      </w:r>
      <w:r w:rsidR="000F452F" w:rsidRPr="005E4978">
        <w:t xml:space="preserve">зокрема, дані про можливий негативний </w:t>
      </w:r>
      <w:r w:rsidRPr="005E4978">
        <w:t xml:space="preserve">вплив </w:t>
      </w:r>
      <w:r w:rsidR="000F452F" w:rsidRPr="005E4978">
        <w:t xml:space="preserve">хімічних речовин або іншої хімічної продукції </w:t>
      </w:r>
      <w:r w:rsidRPr="005E4978">
        <w:t>на довкілля, здоров</w:t>
      </w:r>
      <w:r w:rsidR="00691CE1" w:rsidRPr="005E4978">
        <w:t>’</w:t>
      </w:r>
      <w:r w:rsidRPr="005E4978">
        <w:t>я людей та інфраструктуру</w:t>
      </w:r>
      <w:r w:rsidR="000F452F" w:rsidRPr="005E4978">
        <w:t xml:space="preserve"> у разі надзвичайної ситуації або вивільнення небезпечних хім</w:t>
      </w:r>
      <w:r w:rsidR="00691CE1" w:rsidRPr="005E4978">
        <w:t>ічних речовин за інших обставин.</w:t>
      </w:r>
    </w:p>
    <w:p w14:paraId="3B6D27B1" w14:textId="6845C61B" w:rsidR="00913BD2" w:rsidRDefault="000F0712" w:rsidP="00C075BD">
      <w:pPr>
        <w:spacing w:before="0" w:after="0"/>
        <w:ind w:firstLine="567"/>
      </w:pPr>
      <w:r w:rsidRPr="005E4978">
        <w:t>1</w:t>
      </w:r>
      <w:r w:rsidR="005E4978" w:rsidRPr="005E4978">
        <w:t>0</w:t>
      </w:r>
      <w:r w:rsidR="00913BD2" w:rsidRPr="005E4978">
        <w:t xml:space="preserve">. </w:t>
      </w:r>
      <w:r w:rsidR="0048501B" w:rsidRPr="005E4978">
        <w:t>І</w:t>
      </w:r>
      <w:r w:rsidR="004B0798" w:rsidRPr="005E4978">
        <w:t xml:space="preserve">нформація щодо загрози, її джерела та відповідних заходів її мінімізації реєструється </w:t>
      </w:r>
      <w:r w:rsidR="0048501B" w:rsidRPr="005E4978">
        <w:t>Міндовкілля</w:t>
      </w:r>
      <w:r w:rsidR="004B0798" w:rsidRPr="005E4978">
        <w:t xml:space="preserve"> у Реєстр</w:t>
      </w:r>
      <w:r w:rsidR="007614B6" w:rsidRPr="005E4978">
        <w:t>і</w:t>
      </w:r>
      <w:r w:rsidR="004B0798" w:rsidRPr="005E4978">
        <w:t xml:space="preserve"> загроз хімічній безпеці.</w:t>
      </w:r>
    </w:p>
    <w:p w14:paraId="56AE952D" w14:textId="2E6F89A7" w:rsidR="00133D82" w:rsidRDefault="007A6D90" w:rsidP="00133D82">
      <w:pPr>
        <w:spacing w:before="0" w:after="120"/>
        <w:ind w:firstLine="567"/>
      </w:pPr>
      <w:r w:rsidRPr="00C075BD">
        <w:t xml:space="preserve">Міндовкілля </w:t>
      </w:r>
      <w:r w:rsidR="00C075BD" w:rsidRPr="00C075BD">
        <w:t>вносить інформацію</w:t>
      </w:r>
      <w:r w:rsidRPr="00C075BD">
        <w:t xml:space="preserve"> </w:t>
      </w:r>
      <w:r w:rsidR="00C075BD" w:rsidRPr="00C075BD">
        <w:t xml:space="preserve">до </w:t>
      </w:r>
      <w:r w:rsidR="00C075BD" w:rsidRPr="005E4978">
        <w:t>Реєстр</w:t>
      </w:r>
      <w:r w:rsidR="00C075BD">
        <w:t>у</w:t>
      </w:r>
      <w:r w:rsidR="00C075BD" w:rsidRPr="005E4978">
        <w:t xml:space="preserve"> загроз хімічній безпеці</w:t>
      </w:r>
      <w:r w:rsidR="00C075BD" w:rsidRPr="00C075BD">
        <w:t xml:space="preserve"> </w:t>
      </w:r>
      <w:r w:rsidRPr="00C075BD">
        <w:t>з урахуванням рекомендацій науково-експертної ради</w:t>
      </w:r>
      <w:r w:rsidR="00C075BD" w:rsidRPr="00C075BD">
        <w:t xml:space="preserve">, </w:t>
      </w:r>
      <w:r w:rsidR="00965806">
        <w:t>у разі її</w:t>
      </w:r>
      <w:r w:rsidR="002852AD">
        <w:t xml:space="preserve"> утворен</w:t>
      </w:r>
      <w:r w:rsidR="00A57D2F">
        <w:t>ня</w:t>
      </w:r>
      <w:bookmarkStart w:id="5" w:name="_GoBack"/>
      <w:bookmarkEnd w:id="5"/>
      <w:r w:rsidR="00C075BD">
        <w:t xml:space="preserve"> при Міндовкілля.</w:t>
      </w:r>
      <w:r w:rsidR="00965806">
        <w:t xml:space="preserve"> Положення про науково-експертну раду та її склад затверджується Міндовкілля.</w:t>
      </w:r>
      <w:r w:rsidR="00133D82" w:rsidRPr="00133D82">
        <w:t xml:space="preserve"> </w:t>
      </w:r>
    </w:p>
    <w:p w14:paraId="081D3DCC" w14:textId="2927CE04" w:rsidR="00133D82" w:rsidRPr="005E4978" w:rsidRDefault="00703EC9" w:rsidP="00133D82">
      <w:pPr>
        <w:spacing w:before="0" w:after="0"/>
        <w:ind w:firstLine="567"/>
      </w:pPr>
      <w:r>
        <w:t>11</w:t>
      </w:r>
      <w:r w:rsidR="00133D82" w:rsidRPr="005E4978">
        <w:t xml:space="preserve">. У Реєстрі загроз хімічній безпеці зазначається наступна інформація: </w:t>
      </w:r>
    </w:p>
    <w:p w14:paraId="64D87E3E" w14:textId="77777777" w:rsidR="00133D82" w:rsidRPr="005E4978" w:rsidRDefault="00133D82" w:rsidP="00133D82">
      <w:pPr>
        <w:spacing w:before="0" w:after="0"/>
        <w:ind w:firstLine="567"/>
      </w:pPr>
      <w:r w:rsidRPr="005E4978">
        <w:t>опис загрози хімічній безпеці;</w:t>
      </w:r>
    </w:p>
    <w:p w14:paraId="60700722" w14:textId="77777777" w:rsidR="00133D82" w:rsidRPr="005E4978" w:rsidRDefault="00133D82" w:rsidP="00133D82">
      <w:pPr>
        <w:spacing w:before="0" w:after="0"/>
        <w:ind w:firstLine="567"/>
      </w:pPr>
      <w:r w:rsidRPr="005E4978">
        <w:t>характер виникнення загрози;</w:t>
      </w:r>
    </w:p>
    <w:p w14:paraId="44CE91CC" w14:textId="77777777" w:rsidR="00133D82" w:rsidRPr="005E4978" w:rsidRDefault="00133D82" w:rsidP="00133D82">
      <w:pPr>
        <w:spacing w:before="0" w:after="0"/>
        <w:ind w:firstLine="567"/>
      </w:pPr>
      <w:r w:rsidRPr="005E4978">
        <w:t>перелік хімічних речовин (або за неможливост</w:t>
      </w:r>
      <w:r>
        <w:t xml:space="preserve">і або складності їх зазначення </w:t>
      </w:r>
      <w:r w:rsidRPr="005E4978">
        <w:t>– хімічної продукції: сумішей, виробів), яких стосується загроза, із зазначенням ідентифікаторів та класифікації небезпечності;</w:t>
      </w:r>
    </w:p>
    <w:p w14:paraId="43BC0EE8" w14:textId="77777777" w:rsidR="00133D82" w:rsidRPr="005E4978" w:rsidRDefault="00133D82" w:rsidP="00133D82">
      <w:pPr>
        <w:spacing w:before="0" w:after="0"/>
        <w:ind w:firstLine="567"/>
      </w:pPr>
      <w:r w:rsidRPr="005E4978">
        <w:t>детальний опис заходів, які необхідно здійснити з метою мінімізації загрози, та крайніх строків їх здійснення;</w:t>
      </w:r>
    </w:p>
    <w:p w14:paraId="6A602E66" w14:textId="4CDBC00E" w:rsidR="007A6D90" w:rsidRPr="005E4978" w:rsidRDefault="00133D82" w:rsidP="00133D82">
      <w:pPr>
        <w:spacing w:before="0" w:after="120"/>
        <w:ind w:firstLine="567"/>
      </w:pPr>
      <w:r w:rsidRPr="005E4978">
        <w:t>статус загрози: активна / мінімізована / усунена.</w:t>
      </w:r>
    </w:p>
    <w:p w14:paraId="3A007CF4" w14:textId="4E3F0F26" w:rsidR="004B0798" w:rsidRPr="005E4978" w:rsidRDefault="000F0712" w:rsidP="00C075BD">
      <w:pPr>
        <w:spacing w:before="0" w:after="120"/>
        <w:ind w:firstLine="567"/>
      </w:pPr>
      <w:r w:rsidRPr="005E4978">
        <w:t>1</w:t>
      </w:r>
      <w:r w:rsidR="00703EC9">
        <w:t>2</w:t>
      </w:r>
      <w:r w:rsidR="004B0798" w:rsidRPr="005E4978">
        <w:t xml:space="preserve">. </w:t>
      </w:r>
      <w:bookmarkStart w:id="6" w:name="_Hlk156738119"/>
      <w:r w:rsidR="004B0798" w:rsidRPr="005E4978">
        <w:t xml:space="preserve">Реєстр загроз хімічній безпеці </w:t>
      </w:r>
      <w:bookmarkEnd w:id="6"/>
      <w:r w:rsidR="004B0798" w:rsidRPr="005E4978">
        <w:t xml:space="preserve">є частиною підсистеми переліків та реєстрів Інформаційної системи забезпечення хімічної безпеки. </w:t>
      </w:r>
    </w:p>
    <w:p w14:paraId="3CE1487F" w14:textId="612DC532" w:rsidR="004B0798" w:rsidRPr="005E4978" w:rsidRDefault="000F0712" w:rsidP="00596785">
      <w:pPr>
        <w:spacing w:before="0" w:after="120"/>
        <w:ind w:firstLine="567"/>
      </w:pPr>
      <w:r w:rsidRPr="005E4978">
        <w:t>1</w:t>
      </w:r>
      <w:r w:rsidR="00703EC9">
        <w:t>3</w:t>
      </w:r>
      <w:r w:rsidR="004B0798" w:rsidRPr="005E4978">
        <w:t>. Держателем Реєстру загроз хімічній безпеці, який забезпечує його ведення</w:t>
      </w:r>
      <w:r w:rsidR="006A2093" w:rsidRPr="005E4978">
        <w:t xml:space="preserve">, </w:t>
      </w:r>
      <w:r w:rsidR="004B0798" w:rsidRPr="005E4978">
        <w:t xml:space="preserve">є </w:t>
      </w:r>
      <w:r w:rsidR="006A2093" w:rsidRPr="005E4978">
        <w:t>Міндовкілля</w:t>
      </w:r>
      <w:r w:rsidR="004B0798" w:rsidRPr="005E4978">
        <w:t>.</w:t>
      </w:r>
    </w:p>
    <w:p w14:paraId="7729335C" w14:textId="30DE158E" w:rsidR="005E4978" w:rsidRDefault="005E4978" w:rsidP="005E4978">
      <w:pPr>
        <w:spacing w:before="0" w:after="120"/>
        <w:ind w:firstLine="567"/>
      </w:pPr>
      <w:r w:rsidRPr="005E4978">
        <w:t>14. Звіт за результатами здійснення моніторингу</w:t>
      </w:r>
      <w:r w:rsidR="00703EC9">
        <w:t xml:space="preserve"> за попередній рік з</w:t>
      </w:r>
      <w:r w:rsidRPr="005E4978">
        <w:t xml:space="preserve"> </w:t>
      </w:r>
      <w:r w:rsidR="00703EC9">
        <w:t>пропозиціями</w:t>
      </w:r>
      <w:r w:rsidRPr="005E4978">
        <w:t xml:space="preserve"> прийняти або вдосконалити відповідні заходи щодо мінімізації загроз хіміч</w:t>
      </w:r>
      <w:r w:rsidR="001C23B1">
        <w:t>ній безпеці та контролю ризиків</w:t>
      </w:r>
      <w:r w:rsidR="001C23B1" w:rsidRPr="001C23B1">
        <w:t xml:space="preserve"> </w:t>
      </w:r>
      <w:r w:rsidR="001C23B1" w:rsidRPr="005E4978">
        <w:t xml:space="preserve">надсилається до уповноважених органів, а також до </w:t>
      </w:r>
      <w:r w:rsidR="001C23B1">
        <w:t>СБУ</w:t>
      </w:r>
      <w:r w:rsidR="00F32F8B">
        <w:t>.</w:t>
      </w:r>
    </w:p>
    <w:p w14:paraId="02A44FCE" w14:textId="7D61F673" w:rsidR="005E4978" w:rsidRPr="005E4978" w:rsidRDefault="005E4978" w:rsidP="005E4978">
      <w:pPr>
        <w:spacing w:before="0" w:after="120"/>
        <w:ind w:firstLine="567"/>
      </w:pPr>
      <w:r w:rsidRPr="005E4978">
        <w:t>1</w:t>
      </w:r>
      <w:r w:rsidR="00C075BD">
        <w:t>5</w:t>
      </w:r>
      <w:r w:rsidRPr="005E4978">
        <w:t xml:space="preserve">. </w:t>
      </w:r>
      <w:r w:rsidR="001C23B1">
        <w:t>Зазначений звіт</w:t>
      </w:r>
      <w:r w:rsidR="00AB00BD">
        <w:t xml:space="preserve"> </w:t>
      </w:r>
      <w:r w:rsidR="00AB00BD" w:rsidRPr="005E4978">
        <w:rPr>
          <w:shd w:val="clear" w:color="auto" w:fill="FFFFFF"/>
        </w:rPr>
        <w:t>оприлюднює</w:t>
      </w:r>
      <w:r w:rsidR="00AB00BD">
        <w:rPr>
          <w:shd w:val="clear" w:color="auto" w:fill="FFFFFF"/>
        </w:rPr>
        <w:t>ться</w:t>
      </w:r>
      <w:r w:rsidR="00AB00BD" w:rsidRPr="005E4978">
        <w:rPr>
          <w:shd w:val="clear" w:color="auto" w:fill="FFFFFF"/>
        </w:rPr>
        <w:t xml:space="preserve"> </w:t>
      </w:r>
      <w:r w:rsidR="00AB00BD">
        <w:rPr>
          <w:shd w:val="clear" w:color="auto" w:fill="FFFFFF"/>
        </w:rPr>
        <w:t>на</w:t>
      </w:r>
      <w:r w:rsidR="00AB00BD" w:rsidRPr="005E4978">
        <w:rPr>
          <w:shd w:val="clear" w:color="auto" w:fill="FFFFFF"/>
        </w:rPr>
        <w:t xml:space="preserve"> офіційному вебсайті </w:t>
      </w:r>
      <w:r w:rsidR="00AB00BD">
        <w:rPr>
          <w:shd w:val="clear" w:color="auto" w:fill="FFFFFF"/>
        </w:rPr>
        <w:t xml:space="preserve">Міндовкілля </w:t>
      </w:r>
      <w:r w:rsidR="00AB00BD" w:rsidRPr="005E4978">
        <w:t xml:space="preserve">протягом 40 (календарних) днів </w:t>
      </w:r>
      <w:r w:rsidR="00AB00BD">
        <w:t xml:space="preserve">з </w:t>
      </w:r>
      <w:r w:rsidR="00AB00BD" w:rsidRPr="005E4978">
        <w:t>дня закінчення звітного періоду</w:t>
      </w:r>
      <w:r w:rsidRPr="005E4978">
        <w:t>.</w:t>
      </w:r>
    </w:p>
    <w:p w14:paraId="65E87E79" w14:textId="6C8FF478" w:rsidR="00913BD2" w:rsidRPr="005E4978" w:rsidRDefault="00655D00" w:rsidP="005E4978">
      <w:pPr>
        <w:spacing w:after="120"/>
        <w:ind w:firstLine="567"/>
      </w:pPr>
      <w:r w:rsidRPr="005E4978">
        <w:t>1</w:t>
      </w:r>
      <w:r w:rsidR="00C075BD">
        <w:t>6</w:t>
      </w:r>
      <w:r w:rsidR="00CD155C" w:rsidRPr="005E4978">
        <w:t xml:space="preserve">. </w:t>
      </w:r>
      <w:r w:rsidR="00961ED4" w:rsidRPr="005E4978">
        <w:t xml:space="preserve">Після </w:t>
      </w:r>
      <w:r w:rsidR="00A60E8A" w:rsidRPr="005E4978">
        <w:rPr>
          <w:shd w:val="clear" w:color="auto" w:fill="FFFFFF"/>
        </w:rPr>
        <w:t xml:space="preserve">забезпечення здійснення заходів щодо мінімізації ризиків виникнення надзвичайних ситуацій на об’єктах хімічної промисловості ДСНС </w:t>
      </w:r>
      <w:r w:rsidR="00961ED4" w:rsidRPr="005E4978">
        <w:t>повідом</w:t>
      </w:r>
      <w:r w:rsidR="00A60E8A" w:rsidRPr="005E4978">
        <w:t>ляє</w:t>
      </w:r>
      <w:r w:rsidR="00700763" w:rsidRPr="005E4978">
        <w:t xml:space="preserve"> про це</w:t>
      </w:r>
      <w:r w:rsidR="00A60E8A" w:rsidRPr="005E4978">
        <w:t xml:space="preserve"> Міндовкілля</w:t>
      </w:r>
      <w:r w:rsidR="000403E5">
        <w:t>.</w:t>
      </w:r>
    </w:p>
    <w:p w14:paraId="66D6CEAB" w14:textId="7373175F" w:rsidR="00961ED4" w:rsidRPr="005E4978" w:rsidRDefault="00655D00" w:rsidP="005E4978">
      <w:pPr>
        <w:spacing w:before="0" w:after="120"/>
        <w:ind w:firstLine="567"/>
      </w:pPr>
      <w:r w:rsidRPr="005E4978">
        <w:lastRenderedPageBreak/>
        <w:t>1</w:t>
      </w:r>
      <w:r w:rsidR="00C075BD">
        <w:t>7</w:t>
      </w:r>
      <w:r w:rsidR="00961ED4" w:rsidRPr="005E4978">
        <w:t xml:space="preserve">. </w:t>
      </w:r>
      <w:r w:rsidR="00700763" w:rsidRPr="005E4978">
        <w:t>Після</w:t>
      </w:r>
      <w:r w:rsidR="00961ED4" w:rsidRPr="005E4978">
        <w:t xml:space="preserve"> отримання повідомлення відповідно до пункту </w:t>
      </w:r>
      <w:r w:rsidR="008F58E7">
        <w:t>16 цього Порядку</w:t>
      </w:r>
      <w:r w:rsidR="00961ED4" w:rsidRPr="005E4978">
        <w:t xml:space="preserve"> </w:t>
      </w:r>
      <w:r w:rsidR="00700763" w:rsidRPr="005E4978">
        <w:t>Міндовкілля</w:t>
      </w:r>
      <w:r w:rsidR="00AD54DC" w:rsidRPr="005E4978">
        <w:t xml:space="preserve"> онов</w:t>
      </w:r>
      <w:r w:rsidR="00700763" w:rsidRPr="005E4978">
        <w:t>лює</w:t>
      </w:r>
      <w:r w:rsidR="00AD54DC" w:rsidRPr="005E4978">
        <w:t xml:space="preserve"> відповідний запис у Реєстрі загроз хімічній безпеці </w:t>
      </w:r>
      <w:r w:rsidR="00700763" w:rsidRPr="005E4978">
        <w:t>щодо статусу загрози</w:t>
      </w:r>
      <w:r w:rsidR="00AD54DC" w:rsidRPr="005E4978">
        <w:t>.</w:t>
      </w:r>
    </w:p>
    <w:p w14:paraId="6054A5EF" w14:textId="41F75FB6" w:rsidR="00AD54DC" w:rsidRPr="005E4978" w:rsidRDefault="00655D00" w:rsidP="005E4978">
      <w:pPr>
        <w:spacing w:before="0" w:after="120"/>
        <w:ind w:firstLine="567"/>
      </w:pPr>
      <w:r w:rsidRPr="005E4978">
        <w:t>1</w:t>
      </w:r>
      <w:r w:rsidR="00C075BD">
        <w:t>8</w:t>
      </w:r>
      <w:r w:rsidR="00AD54DC" w:rsidRPr="005E4978">
        <w:t xml:space="preserve">. Записи в </w:t>
      </w:r>
      <w:r w:rsidR="00E17700" w:rsidRPr="005E4978">
        <w:t xml:space="preserve">Реєстрі загроз хімічній безпеці </w:t>
      </w:r>
      <w:r w:rsidR="00AD54DC" w:rsidRPr="005E4978">
        <w:t>підлягають видаленню</w:t>
      </w:r>
      <w:r w:rsidR="00E17700" w:rsidRPr="005E4978">
        <w:t xml:space="preserve"> через один рік після присвоєння статуту загрози «усунена»</w:t>
      </w:r>
      <w:r w:rsidR="00AD54DC" w:rsidRPr="005E4978">
        <w:t>.</w:t>
      </w:r>
    </w:p>
    <w:p w14:paraId="0CC9A1F9" w14:textId="5348F7C4" w:rsidR="00FE480B" w:rsidRPr="0021797A" w:rsidRDefault="005E4978" w:rsidP="005E4978">
      <w:pPr>
        <w:ind w:firstLine="0"/>
        <w:jc w:val="center"/>
      </w:pPr>
      <w:r>
        <w:t>____________________________________</w:t>
      </w:r>
    </w:p>
    <w:sectPr w:rsidR="00FE480B" w:rsidRPr="0021797A" w:rsidSect="007B67B3">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583FD" w14:textId="77777777" w:rsidR="005203F6" w:rsidRDefault="005203F6" w:rsidP="007B67B3">
      <w:pPr>
        <w:spacing w:before="0" w:after="0"/>
      </w:pPr>
      <w:r>
        <w:separator/>
      </w:r>
    </w:p>
  </w:endnote>
  <w:endnote w:type="continuationSeparator" w:id="0">
    <w:p w14:paraId="3C914D9E" w14:textId="77777777" w:rsidR="005203F6" w:rsidRDefault="005203F6" w:rsidP="007B67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03498" w14:textId="77777777" w:rsidR="005203F6" w:rsidRDefault="005203F6" w:rsidP="007B67B3">
      <w:pPr>
        <w:spacing w:before="0" w:after="0"/>
      </w:pPr>
      <w:r>
        <w:separator/>
      </w:r>
    </w:p>
  </w:footnote>
  <w:footnote w:type="continuationSeparator" w:id="0">
    <w:p w14:paraId="3557FD98" w14:textId="77777777" w:rsidR="005203F6" w:rsidRDefault="005203F6" w:rsidP="007B67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416323"/>
      <w:docPartObj>
        <w:docPartGallery w:val="Page Numbers (Top of Page)"/>
        <w:docPartUnique/>
      </w:docPartObj>
    </w:sdtPr>
    <w:sdtEndPr/>
    <w:sdtContent>
      <w:p w14:paraId="07BD8726" w14:textId="6333235D" w:rsidR="007B67B3" w:rsidRDefault="007B67B3">
        <w:pPr>
          <w:pStyle w:val="a6"/>
          <w:jc w:val="center"/>
        </w:pPr>
        <w:r>
          <w:fldChar w:fldCharType="begin"/>
        </w:r>
        <w:r>
          <w:instrText>PAGE   \* MERGEFORMAT</w:instrText>
        </w:r>
        <w:r>
          <w:fldChar w:fldCharType="separate"/>
        </w:r>
        <w:r w:rsidR="00A57D2F" w:rsidRPr="00A57D2F">
          <w:rPr>
            <w:noProof/>
            <w:lang w:val="ru-RU"/>
          </w:rPr>
          <w:t>2</w:t>
        </w:r>
        <w:r>
          <w:fldChar w:fldCharType="end"/>
        </w:r>
      </w:p>
    </w:sdtContent>
  </w:sdt>
  <w:p w14:paraId="22450C0F" w14:textId="77777777" w:rsidR="007B67B3" w:rsidRDefault="007B67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95861"/>
    <w:multiLevelType w:val="hybridMultilevel"/>
    <w:tmpl w:val="0DDE4382"/>
    <w:lvl w:ilvl="0" w:tplc="88C0A7A6">
      <w:start w:val="6"/>
      <w:numFmt w:val="bullet"/>
      <w:lvlText w:val="–"/>
      <w:lvlJc w:val="left"/>
      <w:pPr>
        <w:ind w:left="2345" w:hanging="360"/>
      </w:pPr>
      <w:rPr>
        <w:rFonts w:ascii="Times New Roman" w:eastAsiaTheme="minorHAnsi" w:hAnsi="Times New Roman" w:cs="Times New Roman" w:hint="default"/>
      </w:rPr>
    </w:lvl>
    <w:lvl w:ilvl="1" w:tplc="20000003" w:tentative="1">
      <w:start w:val="1"/>
      <w:numFmt w:val="bullet"/>
      <w:lvlText w:val="o"/>
      <w:lvlJc w:val="left"/>
      <w:pPr>
        <w:ind w:left="3065" w:hanging="360"/>
      </w:pPr>
      <w:rPr>
        <w:rFonts w:ascii="Courier New" w:hAnsi="Courier New" w:cs="Courier New" w:hint="default"/>
      </w:rPr>
    </w:lvl>
    <w:lvl w:ilvl="2" w:tplc="20000005" w:tentative="1">
      <w:start w:val="1"/>
      <w:numFmt w:val="bullet"/>
      <w:lvlText w:val=""/>
      <w:lvlJc w:val="left"/>
      <w:pPr>
        <w:ind w:left="3785" w:hanging="360"/>
      </w:pPr>
      <w:rPr>
        <w:rFonts w:ascii="Wingdings" w:hAnsi="Wingdings" w:hint="default"/>
      </w:rPr>
    </w:lvl>
    <w:lvl w:ilvl="3" w:tplc="20000001" w:tentative="1">
      <w:start w:val="1"/>
      <w:numFmt w:val="bullet"/>
      <w:lvlText w:val=""/>
      <w:lvlJc w:val="left"/>
      <w:pPr>
        <w:ind w:left="4505" w:hanging="360"/>
      </w:pPr>
      <w:rPr>
        <w:rFonts w:ascii="Symbol" w:hAnsi="Symbol" w:hint="default"/>
      </w:rPr>
    </w:lvl>
    <w:lvl w:ilvl="4" w:tplc="20000003" w:tentative="1">
      <w:start w:val="1"/>
      <w:numFmt w:val="bullet"/>
      <w:lvlText w:val="o"/>
      <w:lvlJc w:val="left"/>
      <w:pPr>
        <w:ind w:left="5225" w:hanging="360"/>
      </w:pPr>
      <w:rPr>
        <w:rFonts w:ascii="Courier New" w:hAnsi="Courier New" w:cs="Courier New" w:hint="default"/>
      </w:rPr>
    </w:lvl>
    <w:lvl w:ilvl="5" w:tplc="20000005" w:tentative="1">
      <w:start w:val="1"/>
      <w:numFmt w:val="bullet"/>
      <w:lvlText w:val=""/>
      <w:lvlJc w:val="left"/>
      <w:pPr>
        <w:ind w:left="5945" w:hanging="360"/>
      </w:pPr>
      <w:rPr>
        <w:rFonts w:ascii="Wingdings" w:hAnsi="Wingdings" w:hint="default"/>
      </w:rPr>
    </w:lvl>
    <w:lvl w:ilvl="6" w:tplc="20000001" w:tentative="1">
      <w:start w:val="1"/>
      <w:numFmt w:val="bullet"/>
      <w:lvlText w:val=""/>
      <w:lvlJc w:val="left"/>
      <w:pPr>
        <w:ind w:left="6665" w:hanging="360"/>
      </w:pPr>
      <w:rPr>
        <w:rFonts w:ascii="Symbol" w:hAnsi="Symbol" w:hint="default"/>
      </w:rPr>
    </w:lvl>
    <w:lvl w:ilvl="7" w:tplc="20000003" w:tentative="1">
      <w:start w:val="1"/>
      <w:numFmt w:val="bullet"/>
      <w:lvlText w:val="o"/>
      <w:lvlJc w:val="left"/>
      <w:pPr>
        <w:ind w:left="7385" w:hanging="360"/>
      </w:pPr>
      <w:rPr>
        <w:rFonts w:ascii="Courier New" w:hAnsi="Courier New" w:cs="Courier New" w:hint="default"/>
      </w:rPr>
    </w:lvl>
    <w:lvl w:ilvl="8" w:tplc="20000005" w:tentative="1">
      <w:start w:val="1"/>
      <w:numFmt w:val="bullet"/>
      <w:lvlText w:val=""/>
      <w:lvlJc w:val="left"/>
      <w:pPr>
        <w:ind w:left="8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B4"/>
    <w:rsid w:val="00025DF4"/>
    <w:rsid w:val="000403E5"/>
    <w:rsid w:val="00060F2F"/>
    <w:rsid w:val="00081036"/>
    <w:rsid w:val="000F0712"/>
    <w:rsid w:val="000F15FC"/>
    <w:rsid w:val="000F452F"/>
    <w:rsid w:val="00133D82"/>
    <w:rsid w:val="00137D9A"/>
    <w:rsid w:val="00142654"/>
    <w:rsid w:val="0015582F"/>
    <w:rsid w:val="001C23B1"/>
    <w:rsid w:val="001C5DE6"/>
    <w:rsid w:val="0021797A"/>
    <w:rsid w:val="00257183"/>
    <w:rsid w:val="002812BB"/>
    <w:rsid w:val="002852AD"/>
    <w:rsid w:val="002C11A7"/>
    <w:rsid w:val="002F33A7"/>
    <w:rsid w:val="00351821"/>
    <w:rsid w:val="00381236"/>
    <w:rsid w:val="003855B9"/>
    <w:rsid w:val="003B79CE"/>
    <w:rsid w:val="003C23C5"/>
    <w:rsid w:val="003D5892"/>
    <w:rsid w:val="003E2D27"/>
    <w:rsid w:val="00414702"/>
    <w:rsid w:val="00422351"/>
    <w:rsid w:val="00453CEF"/>
    <w:rsid w:val="00470841"/>
    <w:rsid w:val="004751BB"/>
    <w:rsid w:val="0048501B"/>
    <w:rsid w:val="00490086"/>
    <w:rsid w:val="00492BEF"/>
    <w:rsid w:val="004B0798"/>
    <w:rsid w:val="004D59E7"/>
    <w:rsid w:val="00513ACB"/>
    <w:rsid w:val="00517F9D"/>
    <w:rsid w:val="005203F6"/>
    <w:rsid w:val="005300DB"/>
    <w:rsid w:val="00553D6A"/>
    <w:rsid w:val="00553F6E"/>
    <w:rsid w:val="00564636"/>
    <w:rsid w:val="00582648"/>
    <w:rsid w:val="00591812"/>
    <w:rsid w:val="0059289C"/>
    <w:rsid w:val="00596785"/>
    <w:rsid w:val="005B069B"/>
    <w:rsid w:val="005D3D69"/>
    <w:rsid w:val="005E4978"/>
    <w:rsid w:val="005F2CFA"/>
    <w:rsid w:val="00636185"/>
    <w:rsid w:val="006450AF"/>
    <w:rsid w:val="006553E7"/>
    <w:rsid w:val="00655D00"/>
    <w:rsid w:val="00671DAB"/>
    <w:rsid w:val="006727BC"/>
    <w:rsid w:val="00690017"/>
    <w:rsid w:val="00691CE1"/>
    <w:rsid w:val="006A1542"/>
    <w:rsid w:val="006A2093"/>
    <w:rsid w:val="006A3821"/>
    <w:rsid w:val="006E609D"/>
    <w:rsid w:val="006E7D12"/>
    <w:rsid w:val="00700763"/>
    <w:rsid w:val="00703EC9"/>
    <w:rsid w:val="00705444"/>
    <w:rsid w:val="00706C2C"/>
    <w:rsid w:val="007614B6"/>
    <w:rsid w:val="007A6D90"/>
    <w:rsid w:val="007B67B3"/>
    <w:rsid w:val="007C4814"/>
    <w:rsid w:val="007D62A5"/>
    <w:rsid w:val="007E0C51"/>
    <w:rsid w:val="0084415C"/>
    <w:rsid w:val="008817A6"/>
    <w:rsid w:val="00884001"/>
    <w:rsid w:val="008F58E7"/>
    <w:rsid w:val="008F773C"/>
    <w:rsid w:val="00913BD2"/>
    <w:rsid w:val="00932761"/>
    <w:rsid w:val="00961ED4"/>
    <w:rsid w:val="00965806"/>
    <w:rsid w:val="0097194C"/>
    <w:rsid w:val="009B797D"/>
    <w:rsid w:val="009D1141"/>
    <w:rsid w:val="00A25F70"/>
    <w:rsid w:val="00A344B4"/>
    <w:rsid w:val="00A57D2F"/>
    <w:rsid w:val="00A60E8A"/>
    <w:rsid w:val="00A61F3C"/>
    <w:rsid w:val="00A71A62"/>
    <w:rsid w:val="00A80E65"/>
    <w:rsid w:val="00A91A33"/>
    <w:rsid w:val="00AB00BD"/>
    <w:rsid w:val="00AD0B20"/>
    <w:rsid w:val="00AD54DC"/>
    <w:rsid w:val="00AD779B"/>
    <w:rsid w:val="00AE2091"/>
    <w:rsid w:val="00B176B8"/>
    <w:rsid w:val="00B63804"/>
    <w:rsid w:val="00BD5D64"/>
    <w:rsid w:val="00BE5E46"/>
    <w:rsid w:val="00BE6F69"/>
    <w:rsid w:val="00C075BD"/>
    <w:rsid w:val="00C105D8"/>
    <w:rsid w:val="00C148FE"/>
    <w:rsid w:val="00C150F5"/>
    <w:rsid w:val="00C44836"/>
    <w:rsid w:val="00C77CF3"/>
    <w:rsid w:val="00C77DD5"/>
    <w:rsid w:val="00CB19D6"/>
    <w:rsid w:val="00CC6FAB"/>
    <w:rsid w:val="00CD155C"/>
    <w:rsid w:val="00CE54FF"/>
    <w:rsid w:val="00D62FEE"/>
    <w:rsid w:val="00D70071"/>
    <w:rsid w:val="00D75EDA"/>
    <w:rsid w:val="00D830E7"/>
    <w:rsid w:val="00DD0F7D"/>
    <w:rsid w:val="00DE79CA"/>
    <w:rsid w:val="00E17700"/>
    <w:rsid w:val="00E2512D"/>
    <w:rsid w:val="00E31A61"/>
    <w:rsid w:val="00E722EC"/>
    <w:rsid w:val="00E7711C"/>
    <w:rsid w:val="00EA06B3"/>
    <w:rsid w:val="00EC5E34"/>
    <w:rsid w:val="00ED7D80"/>
    <w:rsid w:val="00F172AE"/>
    <w:rsid w:val="00F21671"/>
    <w:rsid w:val="00F31735"/>
    <w:rsid w:val="00F32F8B"/>
    <w:rsid w:val="00F6123B"/>
    <w:rsid w:val="00F97359"/>
    <w:rsid w:val="00FB4ABA"/>
    <w:rsid w:val="00FC789A"/>
    <w:rsid w:val="00FE48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EA83"/>
  <w15:docId w15:val="{C77263D5-C42D-4D38-8C19-26AEAB73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4B4"/>
    <w:pPr>
      <w:spacing w:before="120" w:after="80" w:line="240" w:lineRule="auto"/>
      <w:ind w:firstLine="709"/>
      <w:jc w:val="both"/>
    </w:pPr>
    <w:rPr>
      <w:rFonts w:ascii="Times New Roman" w:hAnsi="Times New Roman" w:cs="Times New Roman"/>
      <w:sz w:val="28"/>
      <w:szCs w:val="28"/>
    </w:rPr>
  </w:style>
  <w:style w:type="paragraph" w:styleId="2">
    <w:name w:val="heading 2"/>
    <w:basedOn w:val="a"/>
    <w:next w:val="a"/>
    <w:link w:val="20"/>
    <w:uiPriority w:val="9"/>
    <w:unhideWhenUsed/>
    <w:qFormat/>
    <w:rsid w:val="00A344B4"/>
    <w:pPr>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4B4"/>
    <w:rPr>
      <w:rFonts w:ascii="Times New Roman" w:hAnsi="Times New Roman" w:cs="Times New Roman"/>
      <w:b/>
      <w:bCs/>
      <w:i/>
      <w:sz w:val="28"/>
      <w:szCs w:val="28"/>
      <w:lang w:val="uk-UA"/>
    </w:rPr>
  </w:style>
  <w:style w:type="character" w:customStyle="1" w:styleId="rvts9">
    <w:name w:val="rvts9"/>
    <w:basedOn w:val="a0"/>
    <w:rsid w:val="00A344B4"/>
  </w:style>
  <w:style w:type="paragraph" w:styleId="a3">
    <w:name w:val="List Paragraph"/>
    <w:basedOn w:val="a"/>
    <w:uiPriority w:val="34"/>
    <w:qFormat/>
    <w:rsid w:val="00F6123B"/>
    <w:pPr>
      <w:ind w:left="720"/>
      <w:contextualSpacing/>
    </w:pPr>
  </w:style>
  <w:style w:type="paragraph" w:styleId="a4">
    <w:name w:val="Balloon Text"/>
    <w:basedOn w:val="a"/>
    <w:link w:val="a5"/>
    <w:uiPriority w:val="99"/>
    <w:semiHidden/>
    <w:unhideWhenUsed/>
    <w:rsid w:val="00FC789A"/>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FC789A"/>
    <w:rPr>
      <w:rFonts w:ascii="Segoe UI" w:hAnsi="Segoe UI" w:cs="Segoe UI"/>
      <w:sz w:val="18"/>
      <w:szCs w:val="18"/>
      <w:lang w:val="uk-UA"/>
    </w:rPr>
  </w:style>
  <w:style w:type="paragraph" w:customStyle="1" w:styleId="rvps2">
    <w:name w:val="rvps2"/>
    <w:basedOn w:val="a"/>
    <w:rsid w:val="0021797A"/>
    <w:pPr>
      <w:spacing w:before="100" w:beforeAutospacing="1" w:after="100" w:afterAutospacing="1"/>
      <w:ind w:firstLine="0"/>
      <w:jc w:val="left"/>
    </w:pPr>
    <w:rPr>
      <w:rFonts w:eastAsia="Times New Roman"/>
      <w:sz w:val="24"/>
      <w:szCs w:val="24"/>
      <w:lang w:eastAsia="uk-UA"/>
    </w:rPr>
  </w:style>
  <w:style w:type="paragraph" w:styleId="a6">
    <w:name w:val="header"/>
    <w:basedOn w:val="a"/>
    <w:link w:val="a7"/>
    <w:uiPriority w:val="99"/>
    <w:unhideWhenUsed/>
    <w:rsid w:val="007B67B3"/>
    <w:pPr>
      <w:tabs>
        <w:tab w:val="center" w:pos="4819"/>
        <w:tab w:val="right" w:pos="9639"/>
      </w:tabs>
      <w:spacing w:before="0" w:after="0"/>
    </w:pPr>
  </w:style>
  <w:style w:type="character" w:customStyle="1" w:styleId="a7">
    <w:name w:val="Верхний колонтитул Знак"/>
    <w:basedOn w:val="a0"/>
    <w:link w:val="a6"/>
    <w:uiPriority w:val="99"/>
    <w:rsid w:val="007B67B3"/>
    <w:rPr>
      <w:rFonts w:ascii="Times New Roman" w:hAnsi="Times New Roman" w:cs="Times New Roman"/>
      <w:sz w:val="28"/>
      <w:szCs w:val="28"/>
    </w:rPr>
  </w:style>
  <w:style w:type="paragraph" w:styleId="a8">
    <w:name w:val="footer"/>
    <w:basedOn w:val="a"/>
    <w:link w:val="a9"/>
    <w:uiPriority w:val="99"/>
    <w:unhideWhenUsed/>
    <w:rsid w:val="007B67B3"/>
    <w:pPr>
      <w:tabs>
        <w:tab w:val="center" w:pos="4819"/>
        <w:tab w:val="right" w:pos="9639"/>
      </w:tabs>
      <w:spacing w:before="0" w:after="0"/>
    </w:pPr>
  </w:style>
  <w:style w:type="character" w:customStyle="1" w:styleId="a9">
    <w:name w:val="Нижний колонтитул Знак"/>
    <w:basedOn w:val="a0"/>
    <w:link w:val="a8"/>
    <w:uiPriority w:val="99"/>
    <w:rsid w:val="007B67B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88C6B-6796-4FDE-8AC0-09AD746D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Pages>
  <Words>3032</Words>
  <Characters>1729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Yamumushi</dc:creator>
  <cp:lastModifiedBy>ЛАЗЮТА Антоніна Сергіївна</cp:lastModifiedBy>
  <cp:revision>31</cp:revision>
  <cp:lastPrinted>2024-05-02T10:38:00Z</cp:lastPrinted>
  <dcterms:created xsi:type="dcterms:W3CDTF">2024-04-16T08:53:00Z</dcterms:created>
  <dcterms:modified xsi:type="dcterms:W3CDTF">2024-06-13T08:42:00Z</dcterms:modified>
</cp:coreProperties>
</file>