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DCEC4" w14:textId="77777777" w:rsidR="002C788A" w:rsidRPr="00670004" w:rsidRDefault="002C788A" w:rsidP="002C788A">
      <w:pPr>
        <w:autoSpaceDE w:val="0"/>
        <w:autoSpaceDN w:val="0"/>
        <w:adjustRightInd w:val="0"/>
        <w:ind w:right="4" w:firstLine="567"/>
        <w:jc w:val="center"/>
        <w:rPr>
          <w:b/>
          <w:bCs/>
          <w:sz w:val="28"/>
          <w:szCs w:val="28"/>
          <w:lang w:val="uk-UA"/>
        </w:rPr>
      </w:pPr>
      <w:r w:rsidRPr="00670004">
        <w:rPr>
          <w:b/>
          <w:bCs/>
          <w:sz w:val="28"/>
          <w:szCs w:val="28"/>
          <w:lang w:val="uk-UA"/>
        </w:rPr>
        <w:t>ПОЯСНЮВАЛЬНА ЗАПИСКА</w:t>
      </w:r>
    </w:p>
    <w:p w14:paraId="25E1F040" w14:textId="77777777" w:rsidR="002C788A" w:rsidRPr="00670004" w:rsidRDefault="002C788A" w:rsidP="002C788A">
      <w:pPr>
        <w:autoSpaceDE w:val="0"/>
        <w:autoSpaceDN w:val="0"/>
        <w:adjustRightInd w:val="0"/>
        <w:ind w:right="4" w:firstLine="567"/>
        <w:jc w:val="center"/>
        <w:rPr>
          <w:b/>
          <w:bCs/>
          <w:sz w:val="28"/>
          <w:szCs w:val="28"/>
          <w:lang w:val="uk-UA"/>
        </w:rPr>
      </w:pPr>
      <w:r w:rsidRPr="00670004">
        <w:rPr>
          <w:b/>
          <w:bCs/>
          <w:sz w:val="28"/>
          <w:szCs w:val="28"/>
          <w:lang w:val="uk-UA"/>
        </w:rPr>
        <w:t xml:space="preserve">до </w:t>
      </w:r>
      <w:r w:rsidR="00CE29A5" w:rsidRPr="00670004">
        <w:rPr>
          <w:b/>
          <w:bCs/>
          <w:sz w:val="28"/>
          <w:szCs w:val="28"/>
          <w:lang w:val="uk-UA"/>
        </w:rPr>
        <w:t>проєкт</w:t>
      </w:r>
      <w:r w:rsidRPr="00670004">
        <w:rPr>
          <w:b/>
          <w:bCs/>
          <w:sz w:val="28"/>
          <w:szCs w:val="28"/>
          <w:lang w:val="uk-UA"/>
        </w:rPr>
        <w:t>у постанови Кабінету Міністрів України</w:t>
      </w:r>
    </w:p>
    <w:p w14:paraId="67CA7FD2" w14:textId="72D8AFC4" w:rsidR="00E73973" w:rsidRPr="00670004" w:rsidRDefault="002C788A" w:rsidP="00BE1032">
      <w:pPr>
        <w:autoSpaceDE w:val="0"/>
        <w:autoSpaceDN w:val="0"/>
        <w:adjustRightInd w:val="0"/>
        <w:ind w:right="4" w:firstLine="567"/>
        <w:jc w:val="center"/>
        <w:rPr>
          <w:b/>
          <w:bCs/>
          <w:sz w:val="28"/>
          <w:szCs w:val="28"/>
          <w:lang w:val="uk-UA"/>
        </w:rPr>
      </w:pPr>
      <w:r w:rsidRPr="00670004">
        <w:rPr>
          <w:b/>
          <w:bCs/>
          <w:sz w:val="28"/>
          <w:szCs w:val="28"/>
          <w:lang w:val="uk-UA"/>
        </w:rPr>
        <w:t>«</w:t>
      </w:r>
      <w:r w:rsidR="0086555F" w:rsidRPr="0086555F">
        <w:rPr>
          <w:b/>
          <w:bCs/>
          <w:sz w:val="28"/>
          <w:szCs w:val="28"/>
          <w:lang w:val="uk-UA"/>
        </w:rPr>
        <w:t>Про затвердження Порядку проведення моніторингу загроз хімічній безпеці та виявлення їх джерел</w:t>
      </w:r>
      <w:r w:rsidRPr="00670004">
        <w:rPr>
          <w:b/>
          <w:bCs/>
          <w:sz w:val="28"/>
          <w:szCs w:val="28"/>
          <w:lang w:val="uk-UA"/>
        </w:rPr>
        <w:t>»</w:t>
      </w:r>
    </w:p>
    <w:p w14:paraId="5E967A72" w14:textId="77777777" w:rsidR="00E73973" w:rsidRPr="00670004" w:rsidRDefault="00E73973" w:rsidP="00E44E15">
      <w:pPr>
        <w:autoSpaceDE w:val="0"/>
        <w:autoSpaceDN w:val="0"/>
        <w:adjustRightInd w:val="0"/>
        <w:ind w:right="4" w:firstLine="567"/>
        <w:jc w:val="both"/>
        <w:rPr>
          <w:b/>
          <w:bCs/>
          <w:sz w:val="28"/>
          <w:szCs w:val="28"/>
          <w:lang w:val="uk-UA"/>
        </w:rPr>
      </w:pPr>
      <w:r w:rsidRPr="00670004">
        <w:rPr>
          <w:b/>
          <w:bCs/>
          <w:sz w:val="28"/>
          <w:szCs w:val="28"/>
          <w:lang w:val="uk-UA"/>
        </w:rPr>
        <w:t>1.</w:t>
      </w:r>
      <w:r w:rsidR="00E44E15" w:rsidRPr="00670004">
        <w:rPr>
          <w:b/>
          <w:bCs/>
          <w:sz w:val="28"/>
          <w:szCs w:val="28"/>
          <w:lang w:val="uk-UA"/>
        </w:rPr>
        <w:t xml:space="preserve"> </w:t>
      </w:r>
      <w:r w:rsidRPr="00670004">
        <w:rPr>
          <w:b/>
          <w:bCs/>
          <w:sz w:val="28"/>
          <w:szCs w:val="28"/>
          <w:lang w:val="uk-UA"/>
        </w:rPr>
        <w:t>Мета</w:t>
      </w:r>
    </w:p>
    <w:p w14:paraId="4DE45B7A" w14:textId="4D902B88" w:rsidR="00E44E15" w:rsidRPr="00670004" w:rsidRDefault="00E73973" w:rsidP="00E44E15">
      <w:pPr>
        <w:pStyle w:val="a3"/>
        <w:tabs>
          <w:tab w:val="left" w:pos="1134"/>
        </w:tabs>
        <w:autoSpaceDE w:val="0"/>
        <w:autoSpaceDN w:val="0"/>
        <w:adjustRightInd w:val="0"/>
        <w:ind w:left="0" w:right="4" w:firstLine="567"/>
        <w:jc w:val="both"/>
        <w:rPr>
          <w:sz w:val="28"/>
          <w:szCs w:val="28"/>
          <w:lang w:val="uk-UA"/>
        </w:rPr>
      </w:pPr>
      <w:r w:rsidRPr="00670004">
        <w:rPr>
          <w:sz w:val="28"/>
          <w:szCs w:val="28"/>
          <w:lang w:val="uk-UA"/>
        </w:rPr>
        <w:t xml:space="preserve">Метою проєкту </w:t>
      </w:r>
      <w:r w:rsidR="00E44E15" w:rsidRPr="00670004">
        <w:rPr>
          <w:bCs/>
          <w:sz w:val="28"/>
          <w:szCs w:val="28"/>
          <w:lang w:val="uk-UA"/>
        </w:rPr>
        <w:t>постанови Кабінету Міністрів України</w:t>
      </w:r>
      <w:r w:rsidR="00E44E15" w:rsidRPr="00670004">
        <w:rPr>
          <w:sz w:val="28"/>
          <w:szCs w:val="28"/>
          <w:lang w:val="uk-UA"/>
        </w:rPr>
        <w:t xml:space="preserve"> «</w:t>
      </w:r>
      <w:r w:rsidR="0086555F" w:rsidRPr="0086555F">
        <w:rPr>
          <w:sz w:val="28"/>
          <w:szCs w:val="28"/>
          <w:lang w:val="uk-UA"/>
        </w:rPr>
        <w:t>Про затвердження Порядку проведення моніторингу загроз хімічній безпеці та виявлення їх джерел</w:t>
      </w:r>
      <w:bookmarkStart w:id="0" w:name="_GoBack"/>
      <w:bookmarkEnd w:id="0"/>
      <w:r w:rsidR="00AB1280">
        <w:rPr>
          <w:sz w:val="28"/>
          <w:szCs w:val="28"/>
          <w:lang w:val="uk-UA"/>
        </w:rPr>
        <w:t xml:space="preserve">» (далі – проєкт акта) </w:t>
      </w:r>
      <w:r w:rsidRPr="00670004">
        <w:rPr>
          <w:sz w:val="28"/>
          <w:szCs w:val="28"/>
          <w:lang w:val="uk-UA"/>
        </w:rPr>
        <w:t xml:space="preserve">є затвердження </w:t>
      </w:r>
      <w:r w:rsidR="002C68E8">
        <w:rPr>
          <w:sz w:val="28"/>
          <w:szCs w:val="28"/>
          <w:lang w:val="uk-UA"/>
        </w:rPr>
        <w:t>Порядку</w:t>
      </w:r>
      <w:r w:rsidR="00F63E03" w:rsidRPr="00670004">
        <w:rPr>
          <w:sz w:val="28"/>
          <w:szCs w:val="28"/>
          <w:lang w:val="uk-UA"/>
        </w:rPr>
        <w:t xml:space="preserve"> </w:t>
      </w:r>
      <w:r w:rsidR="00E4677E" w:rsidRPr="00670004">
        <w:rPr>
          <w:sz w:val="28"/>
          <w:szCs w:val="28"/>
          <w:lang w:val="uk-UA"/>
        </w:rPr>
        <w:t>виявлення джерел загроз хімічній безпеці та їх моніторингу</w:t>
      </w:r>
      <w:r w:rsidR="002C788A" w:rsidRPr="00670004">
        <w:rPr>
          <w:sz w:val="28"/>
          <w:szCs w:val="28"/>
          <w:lang w:val="uk-UA"/>
        </w:rPr>
        <w:t>.</w:t>
      </w:r>
    </w:p>
    <w:p w14:paraId="4C963F05" w14:textId="77777777" w:rsidR="002C788A" w:rsidRPr="00670004" w:rsidRDefault="002C788A" w:rsidP="00E44E15">
      <w:pPr>
        <w:pStyle w:val="a3"/>
        <w:tabs>
          <w:tab w:val="left" w:pos="1134"/>
        </w:tabs>
        <w:autoSpaceDE w:val="0"/>
        <w:autoSpaceDN w:val="0"/>
        <w:adjustRightInd w:val="0"/>
        <w:ind w:left="0" w:right="4" w:firstLine="567"/>
        <w:jc w:val="both"/>
        <w:rPr>
          <w:sz w:val="28"/>
          <w:szCs w:val="28"/>
          <w:lang w:val="uk-UA"/>
        </w:rPr>
      </w:pPr>
    </w:p>
    <w:p w14:paraId="3AFC8BA4" w14:textId="77777777" w:rsidR="00E73973" w:rsidRDefault="00E73973" w:rsidP="00E44E15">
      <w:pPr>
        <w:autoSpaceDE w:val="0"/>
        <w:autoSpaceDN w:val="0"/>
        <w:adjustRightInd w:val="0"/>
        <w:ind w:right="4" w:firstLine="567"/>
        <w:jc w:val="both"/>
        <w:rPr>
          <w:b/>
          <w:bCs/>
          <w:sz w:val="28"/>
          <w:szCs w:val="28"/>
          <w:lang w:val="uk-UA"/>
        </w:rPr>
      </w:pPr>
      <w:r w:rsidRPr="00670004">
        <w:rPr>
          <w:b/>
          <w:bCs/>
          <w:sz w:val="28"/>
          <w:szCs w:val="28"/>
          <w:lang w:val="uk-UA"/>
        </w:rPr>
        <w:t>2. Обґрунтування необхідності прийняття акта</w:t>
      </w:r>
    </w:p>
    <w:p w14:paraId="3545EDA7" w14:textId="7BCC8787" w:rsidR="00F72589" w:rsidRPr="00670004" w:rsidRDefault="00AB1280" w:rsidP="004F7C57">
      <w:pPr>
        <w:autoSpaceDE w:val="0"/>
        <w:autoSpaceDN w:val="0"/>
        <w:adjustRightInd w:val="0"/>
        <w:ind w:right="4" w:firstLine="567"/>
        <w:jc w:val="both"/>
        <w:rPr>
          <w:sz w:val="28"/>
          <w:szCs w:val="28"/>
          <w:lang w:val="uk-UA"/>
        </w:rPr>
      </w:pPr>
      <w:r w:rsidRPr="00AB1280">
        <w:rPr>
          <w:bCs/>
          <w:sz w:val="28"/>
          <w:szCs w:val="28"/>
          <w:lang w:val="uk-UA"/>
        </w:rPr>
        <w:t>Проєкт акта розроблено з метою виконання вимог статті 26 Закону України «Про забезпечення хімічної безпеки та управління хімічною продукцією»</w:t>
      </w:r>
      <w:r w:rsidR="004F7C57">
        <w:rPr>
          <w:bCs/>
          <w:sz w:val="28"/>
          <w:szCs w:val="28"/>
          <w:lang w:val="uk-UA"/>
        </w:rPr>
        <w:t>.</w:t>
      </w:r>
    </w:p>
    <w:p w14:paraId="56BB01E6" w14:textId="77777777" w:rsidR="00E73973" w:rsidRPr="00670004" w:rsidRDefault="00E73973" w:rsidP="00E44E15">
      <w:pPr>
        <w:autoSpaceDE w:val="0"/>
        <w:autoSpaceDN w:val="0"/>
        <w:adjustRightInd w:val="0"/>
        <w:ind w:right="4" w:firstLine="567"/>
        <w:jc w:val="both"/>
        <w:rPr>
          <w:sz w:val="28"/>
          <w:szCs w:val="28"/>
          <w:lang w:val="uk-UA"/>
        </w:rPr>
      </w:pPr>
    </w:p>
    <w:p w14:paraId="5F44B36A" w14:textId="77777777" w:rsidR="00E73973" w:rsidRPr="00670004" w:rsidRDefault="006F2EA0" w:rsidP="00E44E15">
      <w:pPr>
        <w:tabs>
          <w:tab w:val="left" w:pos="851"/>
        </w:tabs>
        <w:autoSpaceDE w:val="0"/>
        <w:autoSpaceDN w:val="0"/>
        <w:adjustRightInd w:val="0"/>
        <w:ind w:right="4" w:firstLine="567"/>
        <w:jc w:val="both"/>
        <w:rPr>
          <w:b/>
          <w:bCs/>
          <w:sz w:val="28"/>
          <w:szCs w:val="28"/>
          <w:lang w:val="uk-UA"/>
        </w:rPr>
      </w:pPr>
      <w:r w:rsidRPr="00670004">
        <w:rPr>
          <w:b/>
          <w:bCs/>
          <w:sz w:val="28"/>
          <w:szCs w:val="28"/>
          <w:lang w:val="uk-UA"/>
        </w:rPr>
        <w:t xml:space="preserve">3. </w:t>
      </w:r>
      <w:r w:rsidR="00E73973" w:rsidRPr="00670004">
        <w:rPr>
          <w:b/>
          <w:bCs/>
          <w:sz w:val="28"/>
          <w:szCs w:val="28"/>
          <w:lang w:val="uk-UA"/>
        </w:rPr>
        <w:t>Основні положення проєкту акта</w:t>
      </w:r>
    </w:p>
    <w:p w14:paraId="7ED2ED4F" w14:textId="2451BE51" w:rsidR="00132C0C" w:rsidRPr="00670004" w:rsidRDefault="00C907BD" w:rsidP="00AB1280">
      <w:pPr>
        <w:autoSpaceDE w:val="0"/>
        <w:autoSpaceDN w:val="0"/>
        <w:adjustRightInd w:val="0"/>
        <w:ind w:right="4" w:firstLine="567"/>
        <w:jc w:val="both"/>
        <w:rPr>
          <w:sz w:val="28"/>
          <w:szCs w:val="28"/>
          <w:lang w:val="uk-UA"/>
        </w:rPr>
      </w:pPr>
      <w:r>
        <w:rPr>
          <w:sz w:val="28"/>
          <w:szCs w:val="28"/>
          <w:lang w:val="uk-UA"/>
        </w:rPr>
        <w:t xml:space="preserve">Проєктом акта передбачається затвердити </w:t>
      </w:r>
      <w:r w:rsidR="00C237CF">
        <w:rPr>
          <w:sz w:val="28"/>
          <w:szCs w:val="28"/>
          <w:lang w:val="uk-UA"/>
        </w:rPr>
        <w:t>П</w:t>
      </w:r>
      <w:r w:rsidR="006D020D">
        <w:rPr>
          <w:sz w:val="28"/>
          <w:szCs w:val="28"/>
          <w:lang w:val="uk-UA"/>
        </w:rPr>
        <w:t>оряд</w:t>
      </w:r>
      <w:r>
        <w:rPr>
          <w:sz w:val="28"/>
          <w:szCs w:val="28"/>
          <w:lang w:val="uk-UA"/>
        </w:rPr>
        <w:t>ок</w:t>
      </w:r>
      <w:r w:rsidR="005341AD" w:rsidRPr="00670004">
        <w:rPr>
          <w:sz w:val="28"/>
          <w:szCs w:val="28"/>
          <w:lang w:val="uk-UA"/>
        </w:rPr>
        <w:t xml:space="preserve"> </w:t>
      </w:r>
      <w:r w:rsidR="00132C0C" w:rsidRPr="00670004">
        <w:rPr>
          <w:sz w:val="28"/>
          <w:szCs w:val="28"/>
          <w:lang w:val="uk-UA"/>
        </w:rPr>
        <w:t>виявлення джерел загроз хімічній безпеці та їх моніторингу</w:t>
      </w:r>
      <w:r>
        <w:rPr>
          <w:sz w:val="28"/>
          <w:szCs w:val="28"/>
          <w:lang w:val="uk-UA"/>
        </w:rPr>
        <w:t>.</w:t>
      </w:r>
    </w:p>
    <w:p w14:paraId="5D00EEBF" w14:textId="77777777" w:rsidR="00292A98" w:rsidRPr="00670004" w:rsidRDefault="00292A98" w:rsidP="00E44E15">
      <w:pPr>
        <w:autoSpaceDE w:val="0"/>
        <w:autoSpaceDN w:val="0"/>
        <w:adjustRightInd w:val="0"/>
        <w:ind w:right="4" w:firstLine="567"/>
        <w:jc w:val="both"/>
        <w:rPr>
          <w:b/>
          <w:bCs/>
          <w:sz w:val="28"/>
          <w:szCs w:val="28"/>
          <w:lang w:val="uk-UA"/>
        </w:rPr>
      </w:pPr>
    </w:p>
    <w:p w14:paraId="206D173E" w14:textId="2735FB93" w:rsidR="00E73973" w:rsidRPr="00670004" w:rsidRDefault="00E73973" w:rsidP="00E44E15">
      <w:pPr>
        <w:autoSpaceDE w:val="0"/>
        <w:autoSpaceDN w:val="0"/>
        <w:adjustRightInd w:val="0"/>
        <w:ind w:right="4" w:firstLine="567"/>
        <w:jc w:val="both"/>
        <w:rPr>
          <w:b/>
          <w:bCs/>
          <w:sz w:val="28"/>
          <w:szCs w:val="28"/>
          <w:lang w:val="uk-UA"/>
        </w:rPr>
      </w:pPr>
      <w:r w:rsidRPr="00670004">
        <w:rPr>
          <w:b/>
          <w:bCs/>
          <w:sz w:val="28"/>
          <w:szCs w:val="28"/>
          <w:lang w:val="uk-UA"/>
        </w:rPr>
        <w:t>4. Правові аспекти</w:t>
      </w:r>
    </w:p>
    <w:p w14:paraId="14216A76" w14:textId="77777777" w:rsidR="00F64806" w:rsidRPr="00670004" w:rsidRDefault="00F64806" w:rsidP="00F95692">
      <w:pPr>
        <w:ind w:firstLine="567"/>
        <w:jc w:val="both"/>
        <w:rPr>
          <w:bCs/>
          <w:color w:val="000000" w:themeColor="text1"/>
          <w:sz w:val="28"/>
          <w:szCs w:val="28"/>
          <w:lang w:val="uk-UA"/>
        </w:rPr>
      </w:pPr>
      <w:r w:rsidRPr="00670004">
        <w:rPr>
          <w:bCs/>
          <w:color w:val="000000" w:themeColor="text1"/>
          <w:sz w:val="28"/>
          <w:szCs w:val="28"/>
          <w:lang w:val="uk-UA"/>
        </w:rPr>
        <w:t>У цій сфері правового регулювання діють:</w:t>
      </w:r>
    </w:p>
    <w:p w14:paraId="70D7BBD7" w14:textId="3A1DFA7B" w:rsidR="00D44CE2" w:rsidRPr="00F95692" w:rsidRDefault="00F95692" w:rsidP="00F95692">
      <w:pPr>
        <w:tabs>
          <w:tab w:val="left" w:pos="567"/>
        </w:tabs>
        <w:jc w:val="both"/>
        <w:rPr>
          <w:color w:val="000000" w:themeColor="text1"/>
          <w:sz w:val="28"/>
          <w:szCs w:val="28"/>
          <w:lang w:val="uk-UA"/>
        </w:rPr>
      </w:pPr>
      <w:r>
        <w:rPr>
          <w:color w:val="000000" w:themeColor="text1"/>
          <w:sz w:val="28"/>
          <w:szCs w:val="28"/>
          <w:lang w:val="uk-UA"/>
        </w:rPr>
        <w:tab/>
      </w:r>
      <w:r w:rsidR="00CE29A5" w:rsidRPr="00F95692">
        <w:rPr>
          <w:color w:val="000000" w:themeColor="text1"/>
          <w:sz w:val="28"/>
          <w:szCs w:val="28"/>
          <w:lang w:val="uk-UA"/>
        </w:rPr>
        <w:t xml:space="preserve">Закон України «Про забезпечення хімічної безпеки та </w:t>
      </w:r>
      <w:r>
        <w:rPr>
          <w:color w:val="000000" w:themeColor="text1"/>
          <w:sz w:val="28"/>
          <w:szCs w:val="28"/>
          <w:lang w:val="uk-UA"/>
        </w:rPr>
        <w:t>управління хімічною продукцією»;</w:t>
      </w:r>
    </w:p>
    <w:p w14:paraId="11A631B6" w14:textId="2C471FD6" w:rsidR="00D44CE2" w:rsidRDefault="00F95692" w:rsidP="00F95692">
      <w:pPr>
        <w:tabs>
          <w:tab w:val="left" w:pos="567"/>
        </w:tabs>
        <w:jc w:val="both"/>
        <w:rPr>
          <w:bCs/>
          <w:color w:val="000000" w:themeColor="text1"/>
          <w:sz w:val="28"/>
          <w:szCs w:val="28"/>
          <w:lang w:val="uk-UA"/>
        </w:rPr>
      </w:pPr>
      <w:r>
        <w:rPr>
          <w:bCs/>
          <w:color w:val="000000" w:themeColor="text1"/>
          <w:sz w:val="28"/>
          <w:szCs w:val="28"/>
          <w:lang w:val="uk-UA"/>
        </w:rPr>
        <w:tab/>
        <w:t xml:space="preserve">Закон України </w:t>
      </w:r>
      <w:r w:rsidR="00D44CE2" w:rsidRPr="00F95692">
        <w:rPr>
          <w:bCs/>
          <w:color w:val="000000" w:themeColor="text1"/>
          <w:sz w:val="28"/>
          <w:szCs w:val="28"/>
          <w:lang w:val="uk-UA"/>
        </w:rPr>
        <w:t>«Про захист інформації в інформа</w:t>
      </w:r>
      <w:r>
        <w:rPr>
          <w:bCs/>
          <w:color w:val="000000" w:themeColor="text1"/>
          <w:sz w:val="28"/>
          <w:szCs w:val="28"/>
          <w:lang w:val="uk-UA"/>
        </w:rPr>
        <w:t>ційно-комунікаційних системах»;</w:t>
      </w:r>
    </w:p>
    <w:p w14:paraId="53858BFF" w14:textId="77777777" w:rsidR="00F95692" w:rsidRPr="00F95692" w:rsidRDefault="00F95692" w:rsidP="00F95692">
      <w:pPr>
        <w:tabs>
          <w:tab w:val="left" w:pos="567"/>
        </w:tabs>
        <w:jc w:val="both"/>
        <w:rPr>
          <w:bCs/>
          <w:color w:val="000000" w:themeColor="text1"/>
          <w:sz w:val="28"/>
          <w:szCs w:val="28"/>
          <w:lang w:val="uk-UA"/>
        </w:rPr>
      </w:pPr>
      <w:r>
        <w:rPr>
          <w:bCs/>
          <w:color w:val="000000" w:themeColor="text1"/>
          <w:sz w:val="28"/>
          <w:szCs w:val="28"/>
          <w:lang w:val="uk-UA"/>
        </w:rPr>
        <w:tab/>
      </w:r>
      <w:r w:rsidRPr="00F95692">
        <w:rPr>
          <w:bCs/>
          <w:color w:val="000000" w:themeColor="text1"/>
          <w:sz w:val="28"/>
          <w:szCs w:val="28"/>
          <w:lang w:val="uk-UA"/>
        </w:rPr>
        <w:t>Закон України «Про публічні електронні реєстри»;</w:t>
      </w:r>
    </w:p>
    <w:p w14:paraId="3F9D249E" w14:textId="4558A5E1" w:rsidR="00F95692" w:rsidRPr="00F95692" w:rsidRDefault="00F95692" w:rsidP="00F95692">
      <w:pPr>
        <w:tabs>
          <w:tab w:val="left" w:pos="567"/>
        </w:tabs>
        <w:jc w:val="both"/>
        <w:rPr>
          <w:bCs/>
          <w:color w:val="000000" w:themeColor="text1"/>
          <w:sz w:val="28"/>
          <w:szCs w:val="28"/>
          <w:lang w:val="uk-UA"/>
        </w:rPr>
      </w:pPr>
      <w:r w:rsidRPr="00F95692">
        <w:rPr>
          <w:bCs/>
          <w:color w:val="000000" w:themeColor="text1"/>
          <w:sz w:val="28"/>
          <w:szCs w:val="28"/>
          <w:lang w:val="uk-UA"/>
        </w:rPr>
        <w:tab/>
      </w:r>
      <w:r w:rsidRPr="00F27027">
        <w:rPr>
          <w:bCs/>
          <w:color w:val="000000" w:themeColor="text1"/>
          <w:sz w:val="28"/>
          <w:szCs w:val="28"/>
          <w:lang w:val="uk-UA"/>
        </w:rPr>
        <w:t>Закон України «Про особливості надання публічних (електронних публічних) послуг».</w:t>
      </w:r>
    </w:p>
    <w:p w14:paraId="22C0FCAD" w14:textId="77777777" w:rsidR="00F64806" w:rsidRPr="00670004" w:rsidRDefault="00F64806" w:rsidP="00E44E15">
      <w:pPr>
        <w:autoSpaceDE w:val="0"/>
        <w:autoSpaceDN w:val="0"/>
        <w:adjustRightInd w:val="0"/>
        <w:ind w:right="4" w:firstLine="567"/>
        <w:jc w:val="both"/>
        <w:rPr>
          <w:b/>
          <w:bCs/>
          <w:sz w:val="28"/>
          <w:szCs w:val="28"/>
          <w:lang w:val="uk-UA"/>
        </w:rPr>
      </w:pPr>
    </w:p>
    <w:p w14:paraId="60AA3F34" w14:textId="77777777" w:rsidR="00E73973" w:rsidRPr="00670004" w:rsidRDefault="00E73973" w:rsidP="00E44E15">
      <w:pPr>
        <w:autoSpaceDE w:val="0"/>
        <w:autoSpaceDN w:val="0"/>
        <w:adjustRightInd w:val="0"/>
        <w:ind w:right="4" w:firstLine="567"/>
        <w:jc w:val="both"/>
        <w:rPr>
          <w:b/>
          <w:bCs/>
          <w:sz w:val="28"/>
          <w:szCs w:val="28"/>
          <w:lang w:val="uk-UA"/>
        </w:rPr>
      </w:pPr>
      <w:r w:rsidRPr="00670004">
        <w:rPr>
          <w:b/>
          <w:bCs/>
          <w:sz w:val="28"/>
          <w:szCs w:val="28"/>
          <w:lang w:val="uk-UA"/>
        </w:rPr>
        <w:t>5. Фінансово-економічне обґрунтування</w:t>
      </w:r>
    </w:p>
    <w:p w14:paraId="63050EFD" w14:textId="622F9E7E" w:rsidR="00D52F3A" w:rsidRDefault="001536B5" w:rsidP="00E44E15">
      <w:pPr>
        <w:autoSpaceDE w:val="0"/>
        <w:autoSpaceDN w:val="0"/>
        <w:adjustRightInd w:val="0"/>
        <w:ind w:right="4" w:firstLine="567"/>
        <w:jc w:val="both"/>
        <w:rPr>
          <w:color w:val="000000" w:themeColor="text1"/>
          <w:sz w:val="28"/>
          <w:szCs w:val="28"/>
          <w:lang w:val="uk-UA"/>
        </w:rPr>
      </w:pPr>
      <w:r w:rsidRPr="00670004">
        <w:rPr>
          <w:color w:val="000000" w:themeColor="text1"/>
          <w:sz w:val="28"/>
          <w:szCs w:val="28"/>
          <w:lang w:val="uk-UA"/>
        </w:rPr>
        <w:t xml:space="preserve">Упровадження положень проєкту акта </w:t>
      </w:r>
      <w:r w:rsidR="00670004">
        <w:rPr>
          <w:color w:val="000000" w:themeColor="text1"/>
          <w:sz w:val="28"/>
          <w:szCs w:val="28"/>
          <w:lang w:val="uk-UA"/>
        </w:rPr>
        <w:t xml:space="preserve">не </w:t>
      </w:r>
      <w:r w:rsidRPr="00670004">
        <w:rPr>
          <w:color w:val="000000" w:themeColor="text1"/>
          <w:sz w:val="28"/>
          <w:szCs w:val="28"/>
          <w:lang w:val="uk-UA"/>
        </w:rPr>
        <w:t>потребує додаткових фінансових витрат з державного або місцевого бюджетів.</w:t>
      </w:r>
      <w:r w:rsidR="00F65019" w:rsidRPr="00670004">
        <w:rPr>
          <w:color w:val="000000" w:themeColor="text1"/>
          <w:sz w:val="28"/>
          <w:szCs w:val="28"/>
          <w:lang w:val="uk-UA"/>
        </w:rPr>
        <w:t xml:space="preserve"> </w:t>
      </w:r>
    </w:p>
    <w:p w14:paraId="2C10C7F5" w14:textId="3C9EB72D" w:rsidR="00BF480D" w:rsidRDefault="00BF480D" w:rsidP="00BF480D">
      <w:pPr>
        <w:ind w:firstLine="567"/>
        <w:jc w:val="both"/>
        <w:rPr>
          <w:bCs/>
          <w:sz w:val="28"/>
          <w:szCs w:val="28"/>
          <w:lang w:val="uk-UA"/>
        </w:rPr>
      </w:pPr>
      <w:r w:rsidRPr="00371BA9">
        <w:rPr>
          <w:bCs/>
          <w:sz w:val="28"/>
          <w:szCs w:val="28"/>
          <w:lang w:val="uk-UA"/>
        </w:rPr>
        <w:t xml:space="preserve">Повноваження Міндовкілля щодо </w:t>
      </w:r>
      <w:r w:rsidR="00182768" w:rsidRPr="00670004">
        <w:rPr>
          <w:sz w:val="28"/>
          <w:szCs w:val="28"/>
          <w:lang w:val="uk-UA"/>
        </w:rPr>
        <w:t>виявлення джерел загроз хімічній безпеці та їх моніторингу</w:t>
      </w:r>
      <w:r w:rsidRPr="00737AC3">
        <w:rPr>
          <w:bCs/>
          <w:sz w:val="28"/>
          <w:szCs w:val="28"/>
          <w:lang w:val="uk-UA"/>
        </w:rPr>
        <w:t xml:space="preserve"> </w:t>
      </w:r>
      <w:r w:rsidRPr="00371BA9">
        <w:rPr>
          <w:bCs/>
          <w:sz w:val="28"/>
          <w:szCs w:val="28"/>
          <w:lang w:val="uk-UA"/>
        </w:rPr>
        <w:t>відповідно</w:t>
      </w:r>
      <w:r>
        <w:rPr>
          <w:bCs/>
          <w:sz w:val="28"/>
          <w:szCs w:val="28"/>
          <w:lang w:val="uk-UA"/>
        </w:rPr>
        <w:t xml:space="preserve"> до вимог </w:t>
      </w:r>
      <w:r w:rsidRPr="00D21071">
        <w:rPr>
          <w:sz w:val="28"/>
          <w:szCs w:val="28"/>
          <w:lang w:val="uk-UA"/>
        </w:rPr>
        <w:t xml:space="preserve">чинного законодавства </w:t>
      </w:r>
      <w:r w:rsidRPr="00371BA9">
        <w:rPr>
          <w:bCs/>
          <w:sz w:val="28"/>
          <w:szCs w:val="28"/>
          <w:lang w:val="uk-UA"/>
        </w:rPr>
        <w:t>здійснюватимуться у межах затвердженої граничної чисельності його працівників без збільшення обсягу фінансування за бюджетною програмою КПКВК 2701010 «Загальне керівництво та управління в сфері захисту довкілля та природних ресурсів».</w:t>
      </w:r>
    </w:p>
    <w:p w14:paraId="1AD3DFAB" w14:textId="32186577" w:rsidR="00BF480D" w:rsidRDefault="00182768" w:rsidP="00E56DF4">
      <w:pPr>
        <w:ind w:firstLine="567"/>
        <w:jc w:val="both"/>
        <w:rPr>
          <w:bCs/>
          <w:sz w:val="28"/>
          <w:szCs w:val="28"/>
          <w:lang w:val="uk-UA"/>
        </w:rPr>
      </w:pPr>
      <w:r>
        <w:rPr>
          <w:bCs/>
          <w:sz w:val="28"/>
          <w:szCs w:val="28"/>
          <w:lang w:val="uk-UA"/>
        </w:rPr>
        <w:t>Реєстр</w:t>
      </w:r>
      <w:r w:rsidR="00BF480D" w:rsidRPr="00737AC3">
        <w:rPr>
          <w:bCs/>
          <w:sz w:val="28"/>
          <w:szCs w:val="28"/>
          <w:lang w:val="uk-UA"/>
        </w:rPr>
        <w:t xml:space="preserve"> </w:t>
      </w:r>
      <w:r w:rsidR="00C95B84">
        <w:rPr>
          <w:bCs/>
          <w:sz w:val="28"/>
          <w:szCs w:val="28"/>
          <w:lang w:val="uk-UA"/>
        </w:rPr>
        <w:t>загроз хімічній безпеці</w:t>
      </w:r>
      <w:r w:rsidR="00BF480D" w:rsidRPr="00737AC3">
        <w:rPr>
          <w:bCs/>
          <w:sz w:val="28"/>
          <w:szCs w:val="28"/>
          <w:lang w:val="uk-UA"/>
        </w:rPr>
        <w:t xml:space="preserve"> є складовою підсистеми переліків та реєстрів Інформаційної системи забезпечення хімічної</w:t>
      </w:r>
      <w:r w:rsidR="00BF480D">
        <w:rPr>
          <w:bCs/>
          <w:sz w:val="28"/>
          <w:szCs w:val="28"/>
          <w:lang w:val="uk-UA"/>
        </w:rPr>
        <w:t xml:space="preserve"> безпеки.</w:t>
      </w:r>
    </w:p>
    <w:p w14:paraId="4D38588B" w14:textId="77777777" w:rsidR="00BF480D" w:rsidRDefault="00BF480D" w:rsidP="00BF480D">
      <w:pPr>
        <w:ind w:firstLine="567"/>
        <w:jc w:val="both"/>
        <w:rPr>
          <w:bCs/>
          <w:sz w:val="28"/>
          <w:szCs w:val="28"/>
          <w:lang w:val="uk-UA"/>
        </w:rPr>
      </w:pPr>
      <w:r w:rsidRPr="00371BA9">
        <w:rPr>
          <w:bCs/>
          <w:sz w:val="28"/>
          <w:szCs w:val="28"/>
          <w:lang w:val="uk-UA"/>
        </w:rPr>
        <w:t xml:space="preserve">Заходи з розробки та запровадження Інформаційної системи забезпечення хімічною безпекою, яка є складовою Єдиної екологічної платформи «ЕкоСистема», планується здійснювати за рахунок коштів проєктів міжнародної технічної допомоги та інших джерел, не заборонених законодавством, зокрема не </w:t>
      </w:r>
      <w:r w:rsidRPr="00371BA9">
        <w:rPr>
          <w:bCs/>
          <w:sz w:val="28"/>
          <w:szCs w:val="28"/>
          <w:lang w:val="uk-UA"/>
        </w:rPr>
        <w:lastRenderedPageBreak/>
        <w:t>потребує збільшення обсягу фінансування за бюджетною програмою КПКВК 2701010 «Загальне керівництво та управління в сфері захисту довкілля та природних ресурсів».</w:t>
      </w:r>
    </w:p>
    <w:p w14:paraId="05A9B9E5" w14:textId="758368D9" w:rsidR="00BF480D" w:rsidRPr="009F5905" w:rsidRDefault="00BF480D" w:rsidP="00BF480D">
      <w:pPr>
        <w:ind w:firstLine="567"/>
        <w:jc w:val="both"/>
        <w:rPr>
          <w:sz w:val="28"/>
          <w:szCs w:val="28"/>
          <w:lang w:val="uk-UA"/>
        </w:rPr>
      </w:pPr>
      <w:r>
        <w:rPr>
          <w:bCs/>
          <w:sz w:val="28"/>
          <w:szCs w:val="28"/>
          <w:lang w:val="uk-UA"/>
        </w:rPr>
        <w:t xml:space="preserve">Уповноважені органи, визначені статтею 10 Закону України </w:t>
      </w:r>
      <w:r w:rsidRPr="00670004">
        <w:rPr>
          <w:sz w:val="28"/>
          <w:szCs w:val="28"/>
          <w:lang w:val="uk-UA"/>
        </w:rPr>
        <w:t>«Про забезпечення хімічної безпеки та управління хімічною продукцією»</w:t>
      </w:r>
      <w:r>
        <w:rPr>
          <w:sz w:val="28"/>
          <w:szCs w:val="28"/>
          <w:lang w:val="uk-UA"/>
        </w:rPr>
        <w:t xml:space="preserve"> </w:t>
      </w:r>
      <w:r w:rsidR="004E067E">
        <w:rPr>
          <w:sz w:val="28"/>
          <w:szCs w:val="28"/>
          <w:lang w:val="uk-UA"/>
        </w:rPr>
        <w:t xml:space="preserve">та Служба Безпеки України </w:t>
      </w:r>
      <w:r w:rsidRPr="00371BA9">
        <w:rPr>
          <w:bCs/>
          <w:sz w:val="28"/>
          <w:szCs w:val="28"/>
          <w:lang w:val="uk-UA"/>
        </w:rPr>
        <w:t>здійснюватиму</w:t>
      </w:r>
      <w:r>
        <w:rPr>
          <w:bCs/>
          <w:sz w:val="28"/>
          <w:szCs w:val="28"/>
          <w:lang w:val="uk-UA"/>
        </w:rPr>
        <w:t>ть свої повноваження</w:t>
      </w:r>
      <w:r w:rsidRPr="00371BA9">
        <w:rPr>
          <w:bCs/>
          <w:sz w:val="28"/>
          <w:szCs w:val="28"/>
          <w:lang w:val="uk-UA"/>
        </w:rPr>
        <w:t xml:space="preserve"> у межах затвердженої граничної </w:t>
      </w:r>
      <w:r w:rsidRPr="009F5905">
        <w:rPr>
          <w:bCs/>
          <w:sz w:val="28"/>
          <w:szCs w:val="28"/>
          <w:lang w:val="uk-UA"/>
        </w:rPr>
        <w:t>чисельності їх працівників без збільшення обсягу фінансування.</w:t>
      </w:r>
    </w:p>
    <w:p w14:paraId="29E75E13" w14:textId="77777777" w:rsidR="00BF480D" w:rsidRPr="009F5905" w:rsidRDefault="00BF480D" w:rsidP="00E44E15">
      <w:pPr>
        <w:autoSpaceDE w:val="0"/>
        <w:autoSpaceDN w:val="0"/>
        <w:adjustRightInd w:val="0"/>
        <w:ind w:right="4" w:firstLine="567"/>
        <w:jc w:val="both"/>
        <w:rPr>
          <w:color w:val="000000" w:themeColor="text1"/>
          <w:sz w:val="28"/>
          <w:szCs w:val="28"/>
          <w:lang w:val="uk-UA"/>
        </w:rPr>
      </w:pPr>
    </w:p>
    <w:p w14:paraId="57A8E464" w14:textId="77777777" w:rsidR="00E73973" w:rsidRPr="009F5905" w:rsidRDefault="00E73973" w:rsidP="00E44E15">
      <w:pPr>
        <w:autoSpaceDE w:val="0"/>
        <w:autoSpaceDN w:val="0"/>
        <w:adjustRightInd w:val="0"/>
        <w:ind w:right="4" w:firstLine="567"/>
        <w:jc w:val="both"/>
        <w:rPr>
          <w:b/>
          <w:bCs/>
          <w:sz w:val="28"/>
          <w:szCs w:val="28"/>
          <w:lang w:val="uk-UA"/>
        </w:rPr>
      </w:pPr>
      <w:r w:rsidRPr="009F5905">
        <w:rPr>
          <w:b/>
          <w:bCs/>
          <w:sz w:val="28"/>
          <w:szCs w:val="28"/>
          <w:lang w:val="uk-UA"/>
        </w:rPr>
        <w:t>6. Позиція заінтересованих сторін</w:t>
      </w:r>
    </w:p>
    <w:p w14:paraId="6E8AA3B9" w14:textId="4D4F554F" w:rsidR="00F95692" w:rsidRPr="009F5905" w:rsidRDefault="00F95692" w:rsidP="000002DF">
      <w:pPr>
        <w:autoSpaceDE w:val="0"/>
        <w:autoSpaceDN w:val="0"/>
        <w:adjustRightInd w:val="0"/>
        <w:ind w:right="4" w:firstLine="567"/>
        <w:jc w:val="both"/>
        <w:rPr>
          <w:color w:val="000000" w:themeColor="text1"/>
          <w:sz w:val="28"/>
          <w:szCs w:val="28"/>
          <w:lang w:val="uk-UA"/>
        </w:rPr>
      </w:pPr>
      <w:r w:rsidRPr="009F5905">
        <w:rPr>
          <w:color w:val="000000" w:themeColor="text1"/>
          <w:sz w:val="28"/>
          <w:szCs w:val="28"/>
          <w:lang w:val="uk-UA"/>
        </w:rPr>
        <w:t>Проєкт акта</w:t>
      </w:r>
      <w:r w:rsidR="000002DF" w:rsidRPr="009F5905">
        <w:rPr>
          <w:color w:val="000000" w:themeColor="text1"/>
          <w:sz w:val="28"/>
          <w:szCs w:val="28"/>
          <w:lang w:val="uk-UA"/>
        </w:rPr>
        <w:t xml:space="preserve"> з метою проведення публічних консультацій </w:t>
      </w:r>
      <w:r w:rsidRPr="009F5905">
        <w:rPr>
          <w:color w:val="000000" w:themeColor="text1"/>
          <w:sz w:val="28"/>
          <w:szCs w:val="28"/>
          <w:lang w:val="uk-UA"/>
        </w:rPr>
        <w:t>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3 листопада 2010 р. № 996</w:t>
      </w:r>
      <w:r w:rsidR="000002DF" w:rsidRPr="009F5905">
        <w:rPr>
          <w:color w:val="000000" w:themeColor="text1"/>
          <w:sz w:val="28"/>
          <w:szCs w:val="28"/>
          <w:lang w:val="uk-UA"/>
        </w:rPr>
        <w:t xml:space="preserve"> опубліковано на офіційному вебсайті Міндовкілля (</w:t>
      </w:r>
      <w:r w:rsidR="000002DF" w:rsidRPr="009F5905">
        <w:rPr>
          <w:sz w:val="28"/>
          <w:szCs w:val="28"/>
          <w:lang w:val="uk-UA"/>
        </w:rPr>
        <w:t>https://mepr.gov.ua/</w:t>
      </w:r>
      <w:r w:rsidR="000002DF" w:rsidRPr="009F5905">
        <w:rPr>
          <w:color w:val="000000" w:themeColor="text1"/>
          <w:sz w:val="28"/>
          <w:szCs w:val="28"/>
          <w:lang w:val="uk-UA"/>
        </w:rPr>
        <w:t>)</w:t>
      </w:r>
      <w:r w:rsidRPr="009F5905">
        <w:rPr>
          <w:color w:val="000000" w:themeColor="text1"/>
          <w:sz w:val="28"/>
          <w:szCs w:val="28"/>
          <w:lang w:val="uk-UA"/>
        </w:rPr>
        <w:t>.</w:t>
      </w:r>
    </w:p>
    <w:p w14:paraId="57B7EC36" w14:textId="77777777" w:rsidR="00F95692" w:rsidRPr="009F5905" w:rsidRDefault="00F95692" w:rsidP="00F95692">
      <w:pPr>
        <w:autoSpaceDE w:val="0"/>
        <w:autoSpaceDN w:val="0"/>
        <w:adjustRightInd w:val="0"/>
        <w:ind w:right="4" w:firstLine="567"/>
        <w:jc w:val="both"/>
        <w:rPr>
          <w:color w:val="000000" w:themeColor="text1"/>
          <w:sz w:val="28"/>
          <w:szCs w:val="28"/>
          <w:lang w:val="uk-UA"/>
        </w:rPr>
      </w:pPr>
      <w:r w:rsidRPr="009F5905">
        <w:rPr>
          <w:color w:val="000000" w:themeColor="text1"/>
          <w:sz w:val="28"/>
          <w:szCs w:val="28"/>
          <w:lang w:val="uk-UA"/>
        </w:rPr>
        <w:t>Проєкт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45EDC522" w14:textId="77777777" w:rsidR="00F95692" w:rsidRPr="009F5905" w:rsidRDefault="00F95692" w:rsidP="00F95692">
      <w:pPr>
        <w:autoSpaceDE w:val="0"/>
        <w:autoSpaceDN w:val="0"/>
        <w:adjustRightInd w:val="0"/>
        <w:ind w:right="4" w:firstLine="567"/>
        <w:jc w:val="both"/>
        <w:rPr>
          <w:color w:val="000000" w:themeColor="text1"/>
          <w:sz w:val="28"/>
          <w:szCs w:val="28"/>
          <w:lang w:val="uk-UA"/>
        </w:rPr>
      </w:pPr>
      <w:r w:rsidRPr="009F5905">
        <w:rPr>
          <w:color w:val="000000" w:themeColor="text1"/>
          <w:sz w:val="28"/>
          <w:szCs w:val="28"/>
          <w:lang w:val="uk-UA"/>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08B6D431" w14:textId="77777777" w:rsidR="00F95692" w:rsidRPr="009F5905" w:rsidRDefault="00F95692" w:rsidP="00F95692">
      <w:pPr>
        <w:autoSpaceDE w:val="0"/>
        <w:autoSpaceDN w:val="0"/>
        <w:adjustRightInd w:val="0"/>
        <w:ind w:right="4" w:firstLine="567"/>
        <w:jc w:val="both"/>
        <w:rPr>
          <w:color w:val="000000" w:themeColor="text1"/>
          <w:sz w:val="28"/>
          <w:szCs w:val="28"/>
          <w:lang w:val="uk-UA"/>
        </w:rPr>
      </w:pPr>
    </w:p>
    <w:p w14:paraId="2A227D35" w14:textId="77777777" w:rsidR="00E73973" w:rsidRDefault="00E73973" w:rsidP="00E44E15">
      <w:pPr>
        <w:autoSpaceDE w:val="0"/>
        <w:autoSpaceDN w:val="0"/>
        <w:adjustRightInd w:val="0"/>
        <w:ind w:right="4" w:firstLine="567"/>
        <w:jc w:val="both"/>
        <w:rPr>
          <w:b/>
          <w:bCs/>
          <w:sz w:val="28"/>
          <w:szCs w:val="28"/>
          <w:lang w:val="uk-UA"/>
        </w:rPr>
      </w:pPr>
      <w:r w:rsidRPr="009F5905">
        <w:rPr>
          <w:b/>
          <w:bCs/>
          <w:sz w:val="28"/>
          <w:szCs w:val="28"/>
          <w:lang w:val="uk-UA"/>
        </w:rPr>
        <w:t>7. Оцінка відповідності</w:t>
      </w:r>
    </w:p>
    <w:p w14:paraId="082A2496" w14:textId="7476DDBC" w:rsidR="00CE29A5" w:rsidRDefault="00F64806" w:rsidP="00064A5F">
      <w:pPr>
        <w:autoSpaceDE w:val="0"/>
        <w:autoSpaceDN w:val="0"/>
        <w:adjustRightInd w:val="0"/>
        <w:ind w:right="4" w:firstLine="567"/>
        <w:jc w:val="both"/>
        <w:rPr>
          <w:bCs/>
          <w:color w:val="000000" w:themeColor="text1"/>
          <w:sz w:val="28"/>
          <w:szCs w:val="28"/>
          <w:lang w:val="uk-UA"/>
        </w:rPr>
      </w:pPr>
      <w:r w:rsidRPr="00670004">
        <w:rPr>
          <w:bCs/>
          <w:color w:val="000000" w:themeColor="text1"/>
          <w:sz w:val="28"/>
          <w:szCs w:val="28"/>
          <w:lang w:val="uk-UA"/>
        </w:rPr>
        <w:t xml:space="preserve">Проєкт постанови містить положення, що стосуються </w:t>
      </w:r>
      <w:r w:rsidR="00064A5F">
        <w:rPr>
          <w:bCs/>
          <w:color w:val="000000" w:themeColor="text1"/>
          <w:sz w:val="28"/>
          <w:szCs w:val="28"/>
          <w:lang w:val="uk-UA"/>
        </w:rPr>
        <w:t>виключно національних процедур та взаємовідносин між органами державної влади.</w:t>
      </w:r>
    </w:p>
    <w:p w14:paraId="71F956D8" w14:textId="77777777" w:rsidR="00C907BD" w:rsidRPr="009C1398" w:rsidRDefault="00C907BD" w:rsidP="00C907BD">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Положення проєкту акта не стосуються прав та свобод, гарантованих Конвенцією про захист прав людини і основоположних свобод.</w:t>
      </w:r>
    </w:p>
    <w:p w14:paraId="05857F87" w14:textId="77777777" w:rsidR="00C907BD" w:rsidRPr="009C1398" w:rsidRDefault="00C907BD" w:rsidP="00C907BD">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проєкті акта відсутні положення, які порушують принцип забезпечення рівних прав та можливостей жінок і чоловіків. </w:t>
      </w:r>
    </w:p>
    <w:p w14:paraId="6D7A169D" w14:textId="77777777" w:rsidR="00C907BD" w:rsidRPr="009C1398" w:rsidRDefault="00C907BD" w:rsidP="00C907BD">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проєкті акта відсутні правила і процедури, які можуть містити ризики вчинення корупційних правопорушень та правопорушень, пов’язаних з корупцією. </w:t>
      </w:r>
    </w:p>
    <w:p w14:paraId="7FC26431" w14:textId="77777777" w:rsidR="00C907BD" w:rsidRPr="009C1398" w:rsidRDefault="00C907BD" w:rsidP="00C907BD">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зв’язку із цим громадська антикорупційна експертиза не передбачається. </w:t>
      </w:r>
    </w:p>
    <w:p w14:paraId="5F8AA003" w14:textId="77777777" w:rsidR="00C907BD" w:rsidRPr="009C1398" w:rsidRDefault="00C907BD" w:rsidP="00C907BD">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проєкті акта відсутні положення, які містять ознаки дискримінації, інші ризики та обмеження, які можуть виникнути під час реалізації акта. У зв’язку із цим, громадська антидискримінаційна та громадська гендерно-правова експертизи </w:t>
      </w:r>
      <w:r w:rsidRPr="009C1398">
        <w:rPr>
          <w:bCs/>
          <w:color w:val="000000" w:themeColor="text1"/>
          <w:sz w:val="28"/>
          <w:szCs w:val="28"/>
          <w:lang w:val="uk-UA"/>
        </w:rPr>
        <w:lastRenderedPageBreak/>
        <w:t>не плануються.</w:t>
      </w:r>
    </w:p>
    <w:p w14:paraId="642988CD" w14:textId="778898BA" w:rsidR="00C907BD" w:rsidRDefault="00C907BD" w:rsidP="00C907BD">
      <w:pPr>
        <w:autoSpaceDE w:val="0"/>
        <w:autoSpaceDN w:val="0"/>
        <w:adjustRightInd w:val="0"/>
        <w:ind w:right="4" w:firstLine="567"/>
        <w:rPr>
          <w:b/>
          <w:bCs/>
          <w:sz w:val="28"/>
          <w:szCs w:val="28"/>
          <w:lang w:val="uk-UA"/>
        </w:rPr>
      </w:pPr>
      <w:r w:rsidRPr="009C1398">
        <w:rPr>
          <w:bCs/>
          <w:color w:val="000000" w:themeColor="text1"/>
          <w:sz w:val="28"/>
          <w:szCs w:val="28"/>
          <w:lang w:val="uk-UA"/>
        </w:rPr>
        <w:t>Проєк</w:t>
      </w:r>
      <w:r w:rsidR="00227019">
        <w:rPr>
          <w:bCs/>
          <w:color w:val="000000" w:themeColor="text1"/>
          <w:sz w:val="28"/>
          <w:szCs w:val="28"/>
          <w:lang w:val="uk-UA"/>
        </w:rPr>
        <w:t>т</w:t>
      </w:r>
      <w:r w:rsidRPr="009C1398">
        <w:rPr>
          <w:bCs/>
          <w:color w:val="000000" w:themeColor="text1"/>
          <w:sz w:val="28"/>
          <w:szCs w:val="28"/>
          <w:lang w:val="uk-UA"/>
        </w:rPr>
        <w:t xml:space="preserve"> акта буде надіслано до Національного аген</w:t>
      </w:r>
      <w:r>
        <w:rPr>
          <w:bCs/>
          <w:color w:val="000000" w:themeColor="text1"/>
          <w:sz w:val="28"/>
          <w:szCs w:val="28"/>
          <w:lang w:val="uk-UA"/>
        </w:rPr>
        <w:t>т</w:t>
      </w:r>
      <w:r w:rsidRPr="009C1398">
        <w:rPr>
          <w:bCs/>
          <w:color w:val="000000" w:themeColor="text1"/>
          <w:sz w:val="28"/>
          <w:szCs w:val="28"/>
          <w:lang w:val="uk-UA"/>
        </w:rPr>
        <w:t>ства з питань запобігання корупції для визначення необхідності проведення антикорупційної експертизи.</w:t>
      </w:r>
    </w:p>
    <w:p w14:paraId="604FB597" w14:textId="77777777" w:rsidR="001536B5" w:rsidRPr="00670004" w:rsidRDefault="001536B5" w:rsidP="001536B5">
      <w:pPr>
        <w:autoSpaceDE w:val="0"/>
        <w:autoSpaceDN w:val="0"/>
        <w:adjustRightInd w:val="0"/>
        <w:ind w:right="4" w:firstLine="567"/>
        <w:rPr>
          <w:b/>
          <w:bCs/>
          <w:sz w:val="28"/>
          <w:szCs w:val="28"/>
          <w:lang w:val="uk-UA"/>
        </w:rPr>
      </w:pPr>
    </w:p>
    <w:p w14:paraId="6CF63E9D" w14:textId="77777777" w:rsidR="00E73973" w:rsidRDefault="00E73973" w:rsidP="00E44E15">
      <w:pPr>
        <w:autoSpaceDE w:val="0"/>
        <w:autoSpaceDN w:val="0"/>
        <w:adjustRightInd w:val="0"/>
        <w:ind w:right="4" w:firstLine="567"/>
        <w:rPr>
          <w:b/>
          <w:bCs/>
          <w:sz w:val="28"/>
          <w:szCs w:val="28"/>
          <w:lang w:val="uk-UA"/>
        </w:rPr>
      </w:pPr>
      <w:r w:rsidRPr="00670004">
        <w:rPr>
          <w:b/>
          <w:bCs/>
          <w:sz w:val="28"/>
          <w:szCs w:val="28"/>
          <w:lang w:val="uk-UA"/>
        </w:rPr>
        <w:t>8. Прогноз результатів</w:t>
      </w:r>
    </w:p>
    <w:p w14:paraId="22500014" w14:textId="77777777" w:rsidR="00F95692" w:rsidRPr="00670004" w:rsidRDefault="00F95692" w:rsidP="00E44E15">
      <w:pPr>
        <w:autoSpaceDE w:val="0"/>
        <w:autoSpaceDN w:val="0"/>
        <w:adjustRightInd w:val="0"/>
        <w:ind w:right="4" w:firstLine="567"/>
        <w:rPr>
          <w:b/>
          <w:bCs/>
          <w:sz w:val="28"/>
          <w:szCs w:val="28"/>
          <w:lang w:val="uk-UA"/>
        </w:rPr>
      </w:pPr>
    </w:p>
    <w:p w14:paraId="63293E06" w14:textId="7A766635" w:rsidR="00F27027" w:rsidRPr="00F27027" w:rsidRDefault="00E73973" w:rsidP="00F27027">
      <w:pPr>
        <w:widowControl w:val="0"/>
        <w:tabs>
          <w:tab w:val="left" w:pos="1134"/>
        </w:tabs>
        <w:ind w:firstLine="567"/>
        <w:jc w:val="both"/>
        <w:rPr>
          <w:bCs/>
          <w:color w:val="000000" w:themeColor="text1"/>
          <w:sz w:val="28"/>
          <w:szCs w:val="28"/>
          <w:lang w:val="uk-UA"/>
        </w:rPr>
      </w:pPr>
      <w:r w:rsidRPr="00F27027">
        <w:rPr>
          <w:bCs/>
          <w:color w:val="000000" w:themeColor="text1"/>
          <w:sz w:val="28"/>
          <w:szCs w:val="28"/>
          <w:lang w:val="uk-UA"/>
        </w:rPr>
        <w:t>Реалізація проєкту акта матиме вплив на інтереси заінтересованих сторін:</w:t>
      </w:r>
      <w:r w:rsidR="00F27027">
        <w:rPr>
          <w:bCs/>
          <w:color w:val="000000" w:themeColor="text1"/>
          <w:sz w:val="28"/>
          <w:szCs w:val="28"/>
          <w:lang w:val="uk-UA"/>
        </w:rPr>
        <w:t xml:space="preserve"> п</w:t>
      </w:r>
      <w:r w:rsidR="00F27027" w:rsidRPr="00F27027">
        <w:rPr>
          <w:bCs/>
          <w:color w:val="000000" w:themeColor="text1"/>
          <w:sz w:val="28"/>
          <w:szCs w:val="28"/>
          <w:lang w:val="uk-UA"/>
        </w:rPr>
        <w:t>рийняття проєкту акта сприятиме суттєвому підсиленню захисту населення від існуючих та майбутніх загроз хімічній безпеці</w:t>
      </w:r>
      <w:r w:rsidR="00F27027">
        <w:rPr>
          <w:bCs/>
          <w:color w:val="000000" w:themeColor="text1"/>
          <w:sz w:val="28"/>
          <w:szCs w:val="28"/>
          <w:lang w:val="uk-UA"/>
        </w:rPr>
        <w:t>.</w:t>
      </w:r>
    </w:p>
    <w:p w14:paraId="34DB9C3A" w14:textId="77777777" w:rsidR="00E73973" w:rsidRPr="00670004" w:rsidRDefault="00E73973" w:rsidP="00E44E15">
      <w:pPr>
        <w:autoSpaceDE w:val="0"/>
        <w:autoSpaceDN w:val="0"/>
        <w:adjustRightInd w:val="0"/>
        <w:ind w:right="-998" w:firstLine="567"/>
        <w:jc w:val="both"/>
        <w:rPr>
          <w:sz w:val="28"/>
          <w:szCs w:val="28"/>
          <w:lang w:val="uk-UA"/>
        </w:rPr>
      </w:pPr>
    </w:p>
    <w:p w14:paraId="68053FE6" w14:textId="77777777" w:rsidR="00E73973" w:rsidRPr="00670004" w:rsidRDefault="00E73973" w:rsidP="00E44E15">
      <w:pPr>
        <w:autoSpaceDE w:val="0"/>
        <w:autoSpaceDN w:val="0"/>
        <w:adjustRightInd w:val="0"/>
        <w:ind w:right="-998" w:firstLine="567"/>
        <w:jc w:val="both"/>
        <w:rPr>
          <w:b/>
          <w:bCs/>
          <w:sz w:val="28"/>
          <w:szCs w:val="28"/>
          <w:lang w:val="uk-UA"/>
        </w:rPr>
      </w:pPr>
    </w:p>
    <w:p w14:paraId="2C714ACC" w14:textId="77777777" w:rsidR="00E73973" w:rsidRPr="00670004" w:rsidRDefault="00E73973" w:rsidP="001536B5">
      <w:pPr>
        <w:tabs>
          <w:tab w:val="center" w:pos="4395"/>
          <w:tab w:val="right" w:pos="9498"/>
        </w:tabs>
        <w:autoSpaceDE w:val="0"/>
        <w:autoSpaceDN w:val="0"/>
        <w:adjustRightInd w:val="0"/>
        <w:ind w:right="-998" w:hanging="142"/>
        <w:jc w:val="both"/>
        <w:rPr>
          <w:b/>
          <w:bCs/>
          <w:sz w:val="28"/>
          <w:szCs w:val="28"/>
          <w:lang w:val="uk-UA"/>
        </w:rPr>
      </w:pPr>
      <w:r w:rsidRPr="00670004">
        <w:rPr>
          <w:b/>
          <w:bCs/>
          <w:sz w:val="28"/>
          <w:szCs w:val="28"/>
          <w:lang w:val="uk-UA"/>
        </w:rPr>
        <w:t>Міністр захисту довкілля та природних</w:t>
      </w:r>
    </w:p>
    <w:p w14:paraId="114F51B3" w14:textId="77777777" w:rsidR="00E73973" w:rsidRPr="00670004" w:rsidRDefault="001536B5" w:rsidP="001536B5">
      <w:pPr>
        <w:tabs>
          <w:tab w:val="center" w:pos="4395"/>
          <w:tab w:val="right" w:pos="9923"/>
        </w:tabs>
        <w:autoSpaceDE w:val="0"/>
        <w:autoSpaceDN w:val="0"/>
        <w:adjustRightInd w:val="0"/>
        <w:ind w:right="-998" w:hanging="142"/>
        <w:jc w:val="both"/>
        <w:rPr>
          <w:b/>
          <w:bCs/>
          <w:sz w:val="28"/>
          <w:szCs w:val="28"/>
          <w:lang w:val="uk-UA"/>
        </w:rPr>
      </w:pPr>
      <w:r w:rsidRPr="00670004">
        <w:rPr>
          <w:b/>
          <w:bCs/>
          <w:sz w:val="28"/>
          <w:szCs w:val="28"/>
          <w:lang w:val="uk-UA"/>
        </w:rPr>
        <w:t>ресурсів України</w:t>
      </w:r>
      <w:r w:rsidRPr="00670004">
        <w:rPr>
          <w:b/>
          <w:bCs/>
          <w:sz w:val="28"/>
          <w:szCs w:val="28"/>
          <w:lang w:val="uk-UA"/>
        </w:rPr>
        <w:tab/>
      </w:r>
      <w:r w:rsidRPr="00670004">
        <w:rPr>
          <w:b/>
          <w:bCs/>
          <w:sz w:val="28"/>
          <w:szCs w:val="28"/>
          <w:lang w:val="uk-UA"/>
        </w:rPr>
        <w:tab/>
        <w:t xml:space="preserve">             </w:t>
      </w:r>
      <w:r w:rsidR="00E73973" w:rsidRPr="00670004">
        <w:rPr>
          <w:b/>
          <w:bCs/>
          <w:sz w:val="28"/>
          <w:szCs w:val="28"/>
          <w:lang w:val="uk-UA"/>
        </w:rPr>
        <w:t>Руслан СТРІЛЕЦЬ</w:t>
      </w:r>
    </w:p>
    <w:p w14:paraId="2AFDEE7C" w14:textId="77777777" w:rsidR="001536B5" w:rsidRPr="00670004" w:rsidRDefault="001536B5" w:rsidP="001536B5">
      <w:pPr>
        <w:autoSpaceDE w:val="0"/>
        <w:autoSpaceDN w:val="0"/>
        <w:adjustRightInd w:val="0"/>
        <w:ind w:right="-998" w:hanging="142"/>
        <w:rPr>
          <w:sz w:val="28"/>
          <w:szCs w:val="28"/>
          <w:lang w:val="uk-UA"/>
        </w:rPr>
      </w:pPr>
    </w:p>
    <w:p w14:paraId="0B32CE6D" w14:textId="77777777" w:rsidR="00F95692" w:rsidRDefault="00F95692" w:rsidP="001536B5">
      <w:pPr>
        <w:autoSpaceDE w:val="0"/>
        <w:autoSpaceDN w:val="0"/>
        <w:adjustRightInd w:val="0"/>
        <w:ind w:right="-998" w:hanging="142"/>
        <w:rPr>
          <w:sz w:val="28"/>
          <w:szCs w:val="28"/>
          <w:lang w:val="uk-UA"/>
        </w:rPr>
      </w:pPr>
    </w:p>
    <w:p w14:paraId="69D0437B" w14:textId="5D4A7A9C" w:rsidR="00706CA9" w:rsidRPr="00670004" w:rsidRDefault="001536B5" w:rsidP="00197E08">
      <w:pPr>
        <w:autoSpaceDE w:val="0"/>
        <w:autoSpaceDN w:val="0"/>
        <w:adjustRightInd w:val="0"/>
        <w:ind w:right="-998" w:hanging="142"/>
        <w:rPr>
          <w:sz w:val="28"/>
          <w:szCs w:val="28"/>
          <w:lang w:val="uk-UA"/>
        </w:rPr>
      </w:pPr>
      <w:r w:rsidRPr="00670004">
        <w:rPr>
          <w:sz w:val="28"/>
          <w:szCs w:val="28"/>
          <w:lang w:val="uk-UA"/>
        </w:rPr>
        <w:t>«</w:t>
      </w:r>
      <w:r w:rsidR="00E73973" w:rsidRPr="00670004">
        <w:rPr>
          <w:sz w:val="28"/>
          <w:szCs w:val="28"/>
          <w:lang w:val="uk-UA"/>
        </w:rPr>
        <w:t>____</w:t>
      </w:r>
      <w:r w:rsidRPr="00670004">
        <w:rPr>
          <w:sz w:val="28"/>
          <w:szCs w:val="28"/>
          <w:lang w:val="uk-UA"/>
        </w:rPr>
        <w:t xml:space="preserve">» </w:t>
      </w:r>
      <w:r w:rsidR="00E73973" w:rsidRPr="00670004">
        <w:rPr>
          <w:sz w:val="28"/>
          <w:szCs w:val="28"/>
          <w:lang w:val="uk-UA"/>
        </w:rPr>
        <w:t>_____</w:t>
      </w:r>
      <w:r w:rsidRPr="00670004">
        <w:rPr>
          <w:sz w:val="28"/>
          <w:szCs w:val="28"/>
          <w:lang w:val="uk-UA"/>
        </w:rPr>
        <w:t>___</w:t>
      </w:r>
      <w:r w:rsidR="00E73973" w:rsidRPr="00670004">
        <w:rPr>
          <w:sz w:val="28"/>
          <w:szCs w:val="28"/>
          <w:lang w:val="uk-UA"/>
        </w:rPr>
        <w:t>_____ 202</w:t>
      </w:r>
      <w:r w:rsidR="00F95692">
        <w:rPr>
          <w:sz w:val="28"/>
          <w:szCs w:val="28"/>
          <w:lang w:val="uk-UA"/>
        </w:rPr>
        <w:t>4</w:t>
      </w:r>
      <w:r w:rsidR="00E73973" w:rsidRPr="00670004">
        <w:rPr>
          <w:sz w:val="28"/>
          <w:szCs w:val="28"/>
          <w:lang w:val="uk-UA"/>
        </w:rPr>
        <w:t xml:space="preserve"> р.</w:t>
      </w:r>
    </w:p>
    <w:sectPr w:rsidR="00706CA9" w:rsidRPr="00670004" w:rsidSect="001536B5">
      <w:headerReference w:type="default" r:id="rId8"/>
      <w:pgSz w:w="12240" w:h="1584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991A" w14:textId="77777777" w:rsidR="00113707" w:rsidRDefault="00113707" w:rsidP="001536B5">
      <w:r>
        <w:separator/>
      </w:r>
    </w:p>
  </w:endnote>
  <w:endnote w:type="continuationSeparator" w:id="0">
    <w:p w14:paraId="0BEC9E40" w14:textId="77777777" w:rsidR="00113707" w:rsidRDefault="00113707" w:rsidP="001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530E" w14:textId="77777777" w:rsidR="00113707" w:rsidRDefault="00113707" w:rsidP="001536B5">
      <w:r>
        <w:separator/>
      </w:r>
    </w:p>
  </w:footnote>
  <w:footnote w:type="continuationSeparator" w:id="0">
    <w:p w14:paraId="64CC1E18" w14:textId="77777777" w:rsidR="00113707" w:rsidRDefault="00113707" w:rsidP="0015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83033"/>
      <w:docPartObj>
        <w:docPartGallery w:val="Page Numbers (Top of Page)"/>
        <w:docPartUnique/>
      </w:docPartObj>
    </w:sdtPr>
    <w:sdtEndPr/>
    <w:sdtContent>
      <w:p w14:paraId="6A38124F" w14:textId="77777777" w:rsidR="00FD4755" w:rsidRDefault="00FD4755">
        <w:pPr>
          <w:pStyle w:val="a5"/>
          <w:jc w:val="center"/>
        </w:pPr>
        <w:r>
          <w:fldChar w:fldCharType="begin"/>
        </w:r>
        <w:r>
          <w:instrText>PAGE   \* MERGEFORMAT</w:instrText>
        </w:r>
        <w:r>
          <w:fldChar w:fldCharType="separate"/>
        </w:r>
        <w:r w:rsidR="0086555F" w:rsidRPr="0086555F">
          <w:rPr>
            <w:noProof/>
            <w:lang w:val="uk-UA"/>
          </w:rPr>
          <w:t>2</w:t>
        </w:r>
        <w:r>
          <w:fldChar w:fldCharType="end"/>
        </w:r>
      </w:p>
    </w:sdtContent>
  </w:sdt>
  <w:p w14:paraId="04234E79" w14:textId="77777777" w:rsidR="00FD4755" w:rsidRDefault="00FD47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5EB22740"/>
    <w:multiLevelType w:val="hybridMultilevel"/>
    <w:tmpl w:val="D65AC46C"/>
    <w:lvl w:ilvl="0" w:tplc="57305958">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3"/>
    <w:rsid w:val="000002DF"/>
    <w:rsid w:val="0005522F"/>
    <w:rsid w:val="00064A5F"/>
    <w:rsid w:val="000A4E3B"/>
    <w:rsid w:val="00113707"/>
    <w:rsid w:val="00132C0C"/>
    <w:rsid w:val="001536B5"/>
    <w:rsid w:val="0017655E"/>
    <w:rsid w:val="00182768"/>
    <w:rsid w:val="00197E08"/>
    <w:rsid w:val="001A6CF6"/>
    <w:rsid w:val="001C06A8"/>
    <w:rsid w:val="00227019"/>
    <w:rsid w:val="00245724"/>
    <w:rsid w:val="00292A98"/>
    <w:rsid w:val="002C68E8"/>
    <w:rsid w:val="002C788A"/>
    <w:rsid w:val="00301F80"/>
    <w:rsid w:val="00317CD5"/>
    <w:rsid w:val="00341B8F"/>
    <w:rsid w:val="00472188"/>
    <w:rsid w:val="00483D42"/>
    <w:rsid w:val="004E067E"/>
    <w:rsid w:val="004F41EA"/>
    <w:rsid w:val="004F7C57"/>
    <w:rsid w:val="00522A0A"/>
    <w:rsid w:val="005341AD"/>
    <w:rsid w:val="00537C60"/>
    <w:rsid w:val="0059372C"/>
    <w:rsid w:val="005958C5"/>
    <w:rsid w:val="005E0CD6"/>
    <w:rsid w:val="006214F5"/>
    <w:rsid w:val="00644B5D"/>
    <w:rsid w:val="00670004"/>
    <w:rsid w:val="00670BDD"/>
    <w:rsid w:val="00681824"/>
    <w:rsid w:val="00683043"/>
    <w:rsid w:val="006C4B18"/>
    <w:rsid w:val="006D020D"/>
    <w:rsid w:val="006E3B58"/>
    <w:rsid w:val="006F2B4C"/>
    <w:rsid w:val="006F2EA0"/>
    <w:rsid w:val="00706CA9"/>
    <w:rsid w:val="00711883"/>
    <w:rsid w:val="0073097E"/>
    <w:rsid w:val="00731367"/>
    <w:rsid w:val="00734BF0"/>
    <w:rsid w:val="007558CE"/>
    <w:rsid w:val="007976BC"/>
    <w:rsid w:val="007A58E0"/>
    <w:rsid w:val="007E1A01"/>
    <w:rsid w:val="007E775A"/>
    <w:rsid w:val="00803447"/>
    <w:rsid w:val="00832D03"/>
    <w:rsid w:val="0086555F"/>
    <w:rsid w:val="008854D7"/>
    <w:rsid w:val="008912E1"/>
    <w:rsid w:val="008E0674"/>
    <w:rsid w:val="00994A90"/>
    <w:rsid w:val="009E1DAB"/>
    <w:rsid w:val="009F5905"/>
    <w:rsid w:val="009F5CC8"/>
    <w:rsid w:val="00A24980"/>
    <w:rsid w:val="00A256FF"/>
    <w:rsid w:val="00A33D7F"/>
    <w:rsid w:val="00AB1280"/>
    <w:rsid w:val="00AB3C80"/>
    <w:rsid w:val="00AC60EF"/>
    <w:rsid w:val="00AE190D"/>
    <w:rsid w:val="00B82BC9"/>
    <w:rsid w:val="00B85628"/>
    <w:rsid w:val="00B968A6"/>
    <w:rsid w:val="00BB3BF4"/>
    <w:rsid w:val="00BC7617"/>
    <w:rsid w:val="00BE1032"/>
    <w:rsid w:val="00BF480D"/>
    <w:rsid w:val="00C06A6D"/>
    <w:rsid w:val="00C237CF"/>
    <w:rsid w:val="00C907BD"/>
    <w:rsid w:val="00C95B84"/>
    <w:rsid w:val="00CC5F88"/>
    <w:rsid w:val="00CE29A5"/>
    <w:rsid w:val="00CF61C6"/>
    <w:rsid w:val="00D24F0F"/>
    <w:rsid w:val="00D44CE2"/>
    <w:rsid w:val="00D52F3A"/>
    <w:rsid w:val="00D7566C"/>
    <w:rsid w:val="00D90FD6"/>
    <w:rsid w:val="00DB1EE6"/>
    <w:rsid w:val="00DB38D9"/>
    <w:rsid w:val="00DF7B25"/>
    <w:rsid w:val="00E04B07"/>
    <w:rsid w:val="00E16D47"/>
    <w:rsid w:val="00E44E15"/>
    <w:rsid w:val="00E4677E"/>
    <w:rsid w:val="00E47C43"/>
    <w:rsid w:val="00E52034"/>
    <w:rsid w:val="00E54113"/>
    <w:rsid w:val="00E560A8"/>
    <w:rsid w:val="00E56DF4"/>
    <w:rsid w:val="00E73973"/>
    <w:rsid w:val="00E74204"/>
    <w:rsid w:val="00EA55CD"/>
    <w:rsid w:val="00EE1408"/>
    <w:rsid w:val="00F27027"/>
    <w:rsid w:val="00F63E03"/>
    <w:rsid w:val="00F64806"/>
    <w:rsid w:val="00F65019"/>
    <w:rsid w:val="00F72589"/>
    <w:rsid w:val="00F95692"/>
    <w:rsid w:val="00FA0D35"/>
    <w:rsid w:val="00FD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784"/>
  <w15:docId w15:val="{7AD784D3-52B5-4661-B852-63C158A0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7C43"/>
    <w:rPr>
      <w:sz w:val="16"/>
      <w:szCs w:val="16"/>
    </w:rPr>
  </w:style>
  <w:style w:type="paragraph" w:styleId="aa">
    <w:name w:val="annotation text"/>
    <w:basedOn w:val="a"/>
    <w:link w:val="ab"/>
    <w:uiPriority w:val="99"/>
    <w:semiHidden/>
    <w:unhideWhenUsed/>
    <w:rsid w:val="00E47C43"/>
    <w:rPr>
      <w:sz w:val="20"/>
      <w:szCs w:val="20"/>
    </w:rPr>
  </w:style>
  <w:style w:type="character" w:customStyle="1" w:styleId="ab">
    <w:name w:val="Текст примечания Знак"/>
    <w:basedOn w:val="a0"/>
    <w:link w:val="aa"/>
    <w:uiPriority w:val="99"/>
    <w:semiHidden/>
    <w:rsid w:val="00E47C4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47C43"/>
    <w:rPr>
      <w:b/>
      <w:bCs/>
    </w:rPr>
  </w:style>
  <w:style w:type="character" w:customStyle="1" w:styleId="ad">
    <w:name w:val="Тема примечания Знак"/>
    <w:basedOn w:val="ab"/>
    <w:link w:val="ac"/>
    <w:uiPriority w:val="99"/>
    <w:semiHidden/>
    <w:rsid w:val="00E47C4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E47C43"/>
    <w:rPr>
      <w:rFonts w:ascii="Segoe UI" w:hAnsi="Segoe UI" w:cs="Segoe UI"/>
      <w:sz w:val="18"/>
      <w:szCs w:val="18"/>
    </w:rPr>
  </w:style>
  <w:style w:type="character" w:customStyle="1" w:styleId="af">
    <w:name w:val="Текст выноски Знак"/>
    <w:basedOn w:val="a0"/>
    <w:link w:val="ae"/>
    <w:uiPriority w:val="99"/>
    <w:semiHidden/>
    <w:rsid w:val="00E47C43"/>
    <w:rPr>
      <w:rFonts w:ascii="Segoe UI" w:eastAsia="Times New Roman" w:hAnsi="Segoe UI" w:cs="Segoe UI"/>
      <w:sz w:val="18"/>
      <w:szCs w:val="18"/>
      <w:lang w:eastAsia="ru-RU"/>
    </w:rPr>
  </w:style>
  <w:style w:type="character" w:styleId="af0">
    <w:name w:val="Hyperlink"/>
    <w:basedOn w:val="a0"/>
    <w:uiPriority w:val="99"/>
    <w:unhideWhenUsed/>
    <w:rsid w:val="00F95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4C67-4EC8-4CB2-82F3-68FF0CE0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3244</Words>
  <Characters>1850</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ЛАЗЮТА Антоніна Сергіївна</cp:lastModifiedBy>
  <cp:revision>32</cp:revision>
  <dcterms:created xsi:type="dcterms:W3CDTF">2024-01-21T11:41:00Z</dcterms:created>
  <dcterms:modified xsi:type="dcterms:W3CDTF">2024-06-13T08:39:00Z</dcterms:modified>
</cp:coreProperties>
</file>