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522"/>
        <w:gridCol w:w="5686"/>
        <w:gridCol w:w="3037"/>
      </w:tblGrid>
      <w:tr w:rsidR="00E620A3" w:rsidTr="00215E43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</w:t>
            </w:r>
            <w:r w:rsidR="003F66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686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215E43">
        <w:trPr>
          <w:trHeight w:val="1009"/>
        </w:trPr>
        <w:tc>
          <w:tcPr>
            <w:tcW w:w="1934" w:type="dxa"/>
          </w:tcPr>
          <w:p w:rsidR="00501C04" w:rsidRDefault="00060F7B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065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0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F7B">
              <w:rPr>
                <w:rFonts w:ascii="Times New Roman" w:hAnsi="Times New Roman" w:cs="Times New Roman"/>
                <w:sz w:val="28"/>
                <w:szCs w:val="28"/>
              </w:rPr>
              <w:t>4882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2011BA" w:rsidP="0085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ОБМЕЖЕНОЮ ВІДПОВІДАЛЬ-НІСТЮ «</w:t>
            </w:r>
            <w:r w:rsidR="0085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ІНТЕХ-ПРОГРЕС»</w:t>
            </w:r>
            <w:r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 w:rsidR="00856CB8">
              <w:rPr>
                <w:rFonts w:ascii="Times New Roman" w:hAnsi="Times New Roman"/>
                <w:sz w:val="28"/>
                <w:szCs w:val="28"/>
              </w:rPr>
              <w:t>32263683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22" w:type="dxa"/>
          </w:tcPr>
          <w:p w:rsidR="00215E43" w:rsidRDefault="003F66DE" w:rsidP="00856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66DE">
              <w:rPr>
                <w:rFonts w:ascii="Times New Roman" w:hAnsi="Times New Roman" w:cs="Times New Roman"/>
                <w:sz w:val="28"/>
                <w:szCs w:val="28"/>
              </w:rPr>
              <w:t xml:space="preserve">б’єкт </w:t>
            </w:r>
            <w:r w:rsidR="002011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</w:t>
            </w:r>
            <w:r w:rsidR="0085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ОБМЕЖЕНОЮ ВІДПОВІДАЛЬ-НІСТЮ «</w:t>
            </w:r>
            <w:r w:rsidR="0085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ІНТЕХ-ПРОГРЕС</w:t>
            </w:r>
            <w:r w:rsidR="002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6CB8" w:rsidRPr="00856CB8" w:rsidRDefault="00856CB8" w:rsidP="00856CB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6CB8">
              <w:rPr>
                <w:rFonts w:ascii="Times New Roman" w:hAnsi="Times New Roman" w:cs="Times New Roman"/>
                <w:sz w:val="27"/>
                <w:szCs w:val="27"/>
              </w:rPr>
              <w:t>Дніпропетров</w:t>
            </w:r>
            <w:r w:rsidR="001A62E4" w:rsidRPr="00856CB8">
              <w:rPr>
                <w:rFonts w:ascii="Times New Roman" w:hAnsi="Times New Roman" w:cs="Times New Roman"/>
                <w:sz w:val="27"/>
                <w:szCs w:val="27"/>
              </w:rPr>
              <w:t>ська область,</w:t>
            </w:r>
            <w:r w:rsidR="00186285" w:rsidRPr="00856C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56CB8">
              <w:rPr>
                <w:rFonts w:ascii="Times New Roman" w:hAnsi="Times New Roman" w:cs="Times New Roman"/>
                <w:sz w:val="27"/>
                <w:szCs w:val="27"/>
              </w:rPr>
              <w:t xml:space="preserve">Криворізький район, на відстані 0,4 км на північ від с. Павлівка, на відстані 2.44 км на захід від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</w:t>
            </w:r>
            <w:r w:rsidRPr="00856CB8">
              <w:rPr>
                <w:rFonts w:ascii="Times New Roman" w:hAnsi="Times New Roman" w:cs="Times New Roman"/>
                <w:sz w:val="27"/>
                <w:szCs w:val="27"/>
              </w:rPr>
              <w:t xml:space="preserve">с. Христофорівка, 1.4 км на схід від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Pr="00856CB8">
              <w:rPr>
                <w:rFonts w:ascii="Times New Roman" w:hAnsi="Times New Roman" w:cs="Times New Roman"/>
                <w:sz w:val="27"/>
                <w:szCs w:val="27"/>
              </w:rPr>
              <w:t xml:space="preserve">с. Іванівка та 2.4 км </w:t>
            </w:r>
            <w:r w:rsidRPr="00856CB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від </w:t>
            </w:r>
          </w:p>
          <w:p w:rsidR="001A62E4" w:rsidRPr="00856CB8" w:rsidRDefault="00856CB8" w:rsidP="00856CB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6CB8">
              <w:rPr>
                <w:rFonts w:ascii="Times New Roman" w:hAnsi="Times New Roman" w:cs="Times New Roman"/>
                <w:sz w:val="27"/>
                <w:szCs w:val="27"/>
              </w:rPr>
              <w:t>с. Великофедорівка (Миколаївська область)</w:t>
            </w:r>
          </w:p>
          <w:p w:rsidR="00135871" w:rsidRPr="00135871" w:rsidRDefault="00135871" w:rsidP="00856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501C04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A27732" w:rsidRPr="001D54DA" w:rsidRDefault="00A27732" w:rsidP="000A5113">
            <w:pPr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>1. Подання суб’єктом господарювання неповного пакета документів, необхідних для одержання дозволу на викиди.</w:t>
            </w:r>
          </w:p>
          <w:p w:rsidR="00B05DBE" w:rsidRDefault="00A27732" w:rsidP="000A511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A">
              <w:rPr>
                <w:rFonts w:ascii="Times New Roman" w:hAnsi="Times New Roman" w:cs="Times New Roman"/>
                <w:sz w:val="28"/>
                <w:szCs w:val="28"/>
              </w:rPr>
              <w:t>У поданих документах відсутні</w:t>
            </w:r>
            <w:r w:rsidR="00B05D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7732" w:rsidRDefault="00A27732" w:rsidP="000A5113">
            <w:pPr>
              <w:ind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відомості, що підтверджують факт та дату опублікування в місцевих друкованих засобах масової інформації повідомлення про намір отримати дозвіл на викиди, </w:t>
            </w:r>
            <w:r w:rsidR="0022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із зазначенням адреси обласної державної адміністрації</w:t>
            </w:r>
            <w:r w:rsidRPr="0022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 як</w:t>
            </w:r>
            <w:r w:rsidR="0022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ої</w:t>
            </w:r>
            <w:r w:rsidRPr="0022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можуть надсилатися зауваження громадських організацій та окремих громадян</w:t>
            </w:r>
            <w:r w:rsidR="00B05D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12427" w:rsidRPr="00112427" w:rsidRDefault="00112427" w:rsidP="0011242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112427">
              <w:rPr>
                <w:sz w:val="28"/>
                <w:szCs w:val="28"/>
              </w:rPr>
              <w:t xml:space="preserve">відомості щодо наявності висновку з </w:t>
            </w:r>
            <w:r w:rsidRPr="00112427">
              <w:rPr>
                <w:sz w:val="28"/>
                <w:szCs w:val="28"/>
              </w:rPr>
              <w:lastRenderedPageBreak/>
              <w:t>оцінки впливу на довкілля, в якому визначено допустимість провадження планованої діяльності, яка згідно з вимогами </w:t>
            </w:r>
            <w:hyperlink r:id="rId7" w:anchor="n3" w:tgtFrame="_blank" w:history="1">
              <w:r w:rsidRPr="00112427">
                <w:rPr>
                  <w:rStyle w:val="a5"/>
                  <w:color w:val="auto"/>
                  <w:sz w:val="28"/>
                  <w:szCs w:val="28"/>
                  <w:u w:val="none"/>
                </w:rPr>
                <w:t>Закону України</w:t>
              </w:r>
            </w:hyperlink>
            <w:r w:rsidRPr="00112427">
              <w:rPr>
                <w:sz w:val="28"/>
                <w:szCs w:val="28"/>
              </w:rPr>
              <w:t> «Про оцінку впливу на довкілля» підлягає оцінці впливу на довкілля;</w:t>
            </w:r>
          </w:p>
          <w:p w:rsidR="00112427" w:rsidRDefault="00112427" w:rsidP="0011242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" w:name="n295"/>
            <w:bookmarkEnd w:id="1"/>
            <w:r>
              <w:rPr>
                <w:sz w:val="28"/>
                <w:szCs w:val="28"/>
              </w:rPr>
              <w:t>повідомлення обласної державної адміністрації</w:t>
            </w:r>
            <w:r w:rsidRPr="00112427">
              <w:rPr>
                <w:sz w:val="28"/>
                <w:szCs w:val="28"/>
              </w:rPr>
              <w:t xml:space="preserve"> про наявність або відсутність зауважень громадськості щодо видачі суб’єкту г</w:t>
            </w:r>
            <w:r>
              <w:rPr>
                <w:sz w:val="28"/>
                <w:szCs w:val="28"/>
              </w:rPr>
              <w:t>осподарювання дозволу на викиди.</w:t>
            </w:r>
          </w:p>
          <w:p w:rsidR="00501C04" w:rsidRPr="00EC10EE" w:rsidRDefault="00C30425" w:rsidP="000A5113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0A5113" w:rsidRDefault="00501C04" w:rsidP="000A51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0A5113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0A5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затвердженої наказом Міністерства захисту довкілля та природних ресурсів України від 27.06.2023 № 448, зареєстрованим в </w:t>
            </w:r>
            <w:r w:rsidR="000A5113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Міністерстві юстиції України 23.08.2023 за № </w:t>
            </w:r>
            <w:r w:rsidR="000A5113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0A5113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31136A" w:rsidRDefault="0031136A" w:rsidP="000A51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вступній частині не наведена мета надання документів;</w:t>
            </w:r>
          </w:p>
          <w:p w:rsidR="001A0E5D" w:rsidRDefault="001A0E5D" w:rsidP="000A511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пункт 3.5 містить недостовірну інформацію про віднесення об</w:t>
            </w:r>
            <w:r w:rsidRPr="001A0E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єкта до першої групи;</w:t>
            </w:r>
          </w:p>
          <w:p w:rsidR="0031136A" w:rsidRPr="00295666" w:rsidRDefault="0031136A" w:rsidP="000A511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 розділі </w:t>
            </w:r>
            <w:r w:rsidRPr="003113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11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Оцінка впливу викидів </w:t>
            </w:r>
            <w:r w:rsidRPr="00311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забруднюючих речовин на стан забруднення атмосферного повітря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311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розрахунк</w:t>
            </w:r>
            <w:r w:rsidR="0029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311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розсіювання</w:t>
            </w:r>
            <w:r w:rsidR="0029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виконано невірно</w:t>
            </w:r>
            <w:r w:rsidR="0029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noBreakHyphen/>
              <w:t>р</w:t>
            </w:r>
            <w:r w:rsidR="00295666" w:rsidRPr="0029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озрахунок забруднення на ЕОМ проводиться з кроком сітки</w:t>
            </w:r>
            <w:r w:rsidR="0029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залежності від класу об’єкта</w:t>
            </w:r>
            <w:r w:rsidR="00295666" w:rsidRPr="0029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 промислового майданчика, а саме: 1, 2 клас - 250 метрів, 3 клас - 100 метрів, 4 клас - 50 метрів, 5 клас - 25 метрів</w:t>
            </w:r>
            <w:r w:rsidR="0029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117EC5" w:rsidRDefault="003F66DE" w:rsidP="003F66DE">
            <w:pPr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E5C">
              <w:rPr>
                <w:rFonts w:ascii="Times New Roman" w:hAnsi="Times New Roman"/>
                <w:sz w:val="28"/>
                <w:szCs w:val="28"/>
              </w:rPr>
              <w:t xml:space="preserve">потребують доопрацювання всі розділи документів,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 тому числі, і розділи «Пропозиції </w:t>
            </w:r>
            <w:r w:rsidR="00A77632">
              <w:rPr>
                <w:rFonts w:ascii="Times New Roman" w:hAnsi="Times New Roman"/>
                <w:sz w:val="28"/>
                <w:szCs w:val="28"/>
              </w:rPr>
              <w:t>щодо дозволених обсягів викидів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…» та «Інформація </w:t>
            </w:r>
            <w:r w:rsidR="00A77632" w:rsidRPr="00473E5C">
              <w:rPr>
                <w:rFonts w:ascii="Times New Roman" w:hAnsi="Times New Roman"/>
                <w:sz w:val="28"/>
                <w:szCs w:val="28"/>
              </w:rPr>
              <w:t xml:space="preserve">про отримання дозволу </w:t>
            </w:r>
            <w:r w:rsidRPr="00473E5C">
              <w:rPr>
                <w:rFonts w:ascii="Times New Roman" w:hAnsi="Times New Roman"/>
                <w:sz w:val="28"/>
                <w:szCs w:val="28"/>
              </w:rPr>
              <w:t xml:space="preserve">для ознайомлення з нею громадськості» в частині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встановлення гранично допустимих викидів забруднюючих речовин в атмосферне повітря </w:t>
            </w:r>
            <w:r w:rsidR="00013E33">
              <w:rPr>
                <w:rFonts w:ascii="Times New Roman" w:hAnsi="Times New Roman"/>
                <w:sz w:val="28"/>
                <w:szCs w:val="28"/>
              </w:rPr>
              <w:t>та умов до пересувних джерел</w:t>
            </w:r>
            <w:r w:rsidR="00596106">
              <w:rPr>
                <w:rFonts w:ascii="Times New Roman" w:hAnsi="Times New Roman"/>
                <w:sz w:val="28"/>
                <w:szCs w:val="28"/>
              </w:rPr>
              <w:t xml:space="preserve"> викидів </w:t>
            </w:r>
            <w:r w:rsidR="00013E33">
              <w:rPr>
                <w:rFonts w:ascii="Times New Roman" w:hAnsi="Times New Roman"/>
                <w:sz w:val="28"/>
                <w:szCs w:val="28"/>
              </w:rPr>
              <w:t>№</w:t>
            </w:r>
            <w:r w:rsidR="00596106">
              <w:rPr>
                <w:rFonts w:ascii="Times New Roman" w:hAnsi="Times New Roman"/>
                <w:sz w:val="28"/>
                <w:szCs w:val="28"/>
              </w:rPr>
              <w:t>№ 1</w:t>
            </w:r>
            <w:r w:rsidR="00013E33">
              <w:rPr>
                <w:rFonts w:ascii="Times New Roman" w:hAnsi="Times New Roman"/>
                <w:sz w:val="28"/>
                <w:szCs w:val="28"/>
              </w:rPr>
              <w:t>, 3, 4, 5, 7, 8.</w:t>
            </w:r>
          </w:p>
          <w:p w:rsidR="003B2A45" w:rsidRPr="001D3BE8" w:rsidRDefault="003B2A45" w:rsidP="00013E33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9D" w:rsidRDefault="00D86E9D" w:rsidP="0071143E">
      <w:pPr>
        <w:spacing w:after="0" w:line="240" w:lineRule="auto"/>
      </w:pPr>
      <w:r>
        <w:separator/>
      </w:r>
    </w:p>
  </w:endnote>
  <w:endnote w:type="continuationSeparator" w:id="0">
    <w:p w:rsidR="00D86E9D" w:rsidRDefault="00D86E9D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9D" w:rsidRDefault="00D86E9D" w:rsidP="0071143E">
      <w:pPr>
        <w:spacing w:after="0" w:line="240" w:lineRule="auto"/>
      </w:pPr>
      <w:r>
        <w:separator/>
      </w:r>
    </w:p>
  </w:footnote>
  <w:footnote w:type="continuationSeparator" w:id="0">
    <w:p w:rsidR="00D86E9D" w:rsidRDefault="00D86E9D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E6" w:rsidRPr="007340E6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13E33"/>
    <w:rsid w:val="00044825"/>
    <w:rsid w:val="0004661E"/>
    <w:rsid w:val="00060F7B"/>
    <w:rsid w:val="000A1CDB"/>
    <w:rsid w:val="000A5113"/>
    <w:rsid w:val="000B4578"/>
    <w:rsid w:val="00112427"/>
    <w:rsid w:val="00117EC5"/>
    <w:rsid w:val="0012202C"/>
    <w:rsid w:val="00135871"/>
    <w:rsid w:val="00143AE4"/>
    <w:rsid w:val="001537AE"/>
    <w:rsid w:val="001776EA"/>
    <w:rsid w:val="00186285"/>
    <w:rsid w:val="001A0E5D"/>
    <w:rsid w:val="001A62E4"/>
    <w:rsid w:val="001D3BE8"/>
    <w:rsid w:val="001F5D39"/>
    <w:rsid w:val="0020058C"/>
    <w:rsid w:val="002011BA"/>
    <w:rsid w:val="00206C77"/>
    <w:rsid w:val="00215E43"/>
    <w:rsid w:val="00225180"/>
    <w:rsid w:val="00260645"/>
    <w:rsid w:val="00295666"/>
    <w:rsid w:val="002A1461"/>
    <w:rsid w:val="002E1155"/>
    <w:rsid w:val="002E25F4"/>
    <w:rsid w:val="00301204"/>
    <w:rsid w:val="0031136A"/>
    <w:rsid w:val="0032397C"/>
    <w:rsid w:val="003353D0"/>
    <w:rsid w:val="003365C6"/>
    <w:rsid w:val="00341647"/>
    <w:rsid w:val="00373C13"/>
    <w:rsid w:val="00390653"/>
    <w:rsid w:val="003A626B"/>
    <w:rsid w:val="003B2A45"/>
    <w:rsid w:val="003D2934"/>
    <w:rsid w:val="003E3834"/>
    <w:rsid w:val="003F66DE"/>
    <w:rsid w:val="00425FE2"/>
    <w:rsid w:val="00450AE3"/>
    <w:rsid w:val="0045212A"/>
    <w:rsid w:val="004B5637"/>
    <w:rsid w:val="004C4FE1"/>
    <w:rsid w:val="004E6C27"/>
    <w:rsid w:val="00501C04"/>
    <w:rsid w:val="00525E96"/>
    <w:rsid w:val="0056065F"/>
    <w:rsid w:val="005943E7"/>
    <w:rsid w:val="00596106"/>
    <w:rsid w:val="00596B5F"/>
    <w:rsid w:val="005B5AAB"/>
    <w:rsid w:val="005C45AD"/>
    <w:rsid w:val="005C5507"/>
    <w:rsid w:val="00604996"/>
    <w:rsid w:val="006053A7"/>
    <w:rsid w:val="00613DF6"/>
    <w:rsid w:val="00632F9A"/>
    <w:rsid w:val="00685505"/>
    <w:rsid w:val="0071143E"/>
    <w:rsid w:val="00725604"/>
    <w:rsid w:val="00726199"/>
    <w:rsid w:val="007273B2"/>
    <w:rsid w:val="007340E6"/>
    <w:rsid w:val="00734FF1"/>
    <w:rsid w:val="00746F94"/>
    <w:rsid w:val="0079094F"/>
    <w:rsid w:val="00831A6B"/>
    <w:rsid w:val="00856CB8"/>
    <w:rsid w:val="00857E2F"/>
    <w:rsid w:val="008C394D"/>
    <w:rsid w:val="008D4B01"/>
    <w:rsid w:val="008E6C98"/>
    <w:rsid w:val="009021C4"/>
    <w:rsid w:val="0090264C"/>
    <w:rsid w:val="00913235"/>
    <w:rsid w:val="00913704"/>
    <w:rsid w:val="00913737"/>
    <w:rsid w:val="009539BC"/>
    <w:rsid w:val="009763E6"/>
    <w:rsid w:val="00982661"/>
    <w:rsid w:val="00982CAF"/>
    <w:rsid w:val="009B2E1D"/>
    <w:rsid w:val="009F2FE8"/>
    <w:rsid w:val="009F5077"/>
    <w:rsid w:val="00A106FF"/>
    <w:rsid w:val="00A27732"/>
    <w:rsid w:val="00A378E2"/>
    <w:rsid w:val="00A418B8"/>
    <w:rsid w:val="00A5418B"/>
    <w:rsid w:val="00A77632"/>
    <w:rsid w:val="00AA68F2"/>
    <w:rsid w:val="00B05DBE"/>
    <w:rsid w:val="00B25274"/>
    <w:rsid w:val="00B44285"/>
    <w:rsid w:val="00B62467"/>
    <w:rsid w:val="00B86E6C"/>
    <w:rsid w:val="00C068E4"/>
    <w:rsid w:val="00C1011F"/>
    <w:rsid w:val="00C151CE"/>
    <w:rsid w:val="00C30425"/>
    <w:rsid w:val="00C62B02"/>
    <w:rsid w:val="00C7636C"/>
    <w:rsid w:val="00CE78D7"/>
    <w:rsid w:val="00D11996"/>
    <w:rsid w:val="00D23389"/>
    <w:rsid w:val="00D23F57"/>
    <w:rsid w:val="00D4353D"/>
    <w:rsid w:val="00D66DAC"/>
    <w:rsid w:val="00D760D3"/>
    <w:rsid w:val="00D86E9D"/>
    <w:rsid w:val="00DB75BD"/>
    <w:rsid w:val="00DD6065"/>
    <w:rsid w:val="00E02C8F"/>
    <w:rsid w:val="00E620A3"/>
    <w:rsid w:val="00E91F88"/>
    <w:rsid w:val="00E94D84"/>
    <w:rsid w:val="00EC10EE"/>
    <w:rsid w:val="00ED1E7D"/>
    <w:rsid w:val="00ED4F60"/>
    <w:rsid w:val="00F13865"/>
    <w:rsid w:val="00F914A5"/>
    <w:rsid w:val="00FA537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CDEA2-D71B-4E54-9B30-2793784D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  <w:style w:type="paragraph" w:customStyle="1" w:styleId="rvps2">
    <w:name w:val="rvps2"/>
    <w:basedOn w:val="a"/>
    <w:rsid w:val="0011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2024-07-10T07:30:00Z</cp:lastPrinted>
  <dcterms:created xsi:type="dcterms:W3CDTF">2024-07-10T07:30:00Z</dcterms:created>
  <dcterms:modified xsi:type="dcterms:W3CDTF">2024-07-10T07:30:00Z</dcterms:modified>
</cp:coreProperties>
</file>