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0E4D2" w14:textId="77777777" w:rsidR="003724B5" w:rsidRDefault="0096418C" w:rsidP="0096418C">
      <w:pPr>
        <w:ind w:firstLine="709"/>
        <w:jc w:val="center"/>
        <w:rPr>
          <w:b/>
          <w:color w:val="000000" w:themeColor="text1"/>
        </w:rPr>
      </w:pPr>
      <w:r w:rsidRPr="0096418C">
        <w:rPr>
          <w:b/>
          <w:color w:val="000000" w:themeColor="text1"/>
        </w:rPr>
        <w:t xml:space="preserve">Повідомлення про намір отримати дозвіл на викиди </w:t>
      </w:r>
    </w:p>
    <w:p w14:paraId="30CCA22E" w14:textId="302A999A" w:rsidR="0096418C" w:rsidRDefault="00383EEA" w:rsidP="0096418C">
      <w:pPr>
        <w:ind w:firstLine="709"/>
        <w:jc w:val="center"/>
        <w:rPr>
          <w:b/>
          <w:color w:val="000000" w:themeColor="text1"/>
        </w:rPr>
      </w:pPr>
      <w:r w:rsidRPr="00383EEA">
        <w:rPr>
          <w:b/>
          <w:color w:val="000000" w:themeColor="text1"/>
        </w:rPr>
        <w:t>МПП «АГРЕК»</w:t>
      </w:r>
    </w:p>
    <w:p w14:paraId="3412D5A1" w14:textId="77777777" w:rsidR="00383EEA" w:rsidRPr="0096418C" w:rsidRDefault="00383EEA" w:rsidP="0096418C">
      <w:pPr>
        <w:ind w:firstLine="709"/>
        <w:jc w:val="center"/>
        <w:rPr>
          <w:b/>
          <w:color w:val="000000" w:themeColor="text1"/>
        </w:rPr>
      </w:pPr>
    </w:p>
    <w:p w14:paraId="73F35387" w14:textId="77777777" w:rsidR="00383EEA" w:rsidRPr="00383EEA" w:rsidRDefault="00383EEA" w:rsidP="00383EEA">
      <w:pPr>
        <w:ind w:firstLine="709"/>
        <w:jc w:val="both"/>
        <w:rPr>
          <w:bCs/>
          <w:color w:val="000000"/>
        </w:rPr>
      </w:pPr>
      <w:r w:rsidRPr="00383EEA">
        <w:rPr>
          <w:bCs/>
          <w:color w:val="000000"/>
        </w:rPr>
        <w:t>МАЛЕ ПРИВАТНЕ ПІДПРИЄМСТВО «АГРЕК» (</w:t>
      </w:r>
      <w:bookmarkStart w:id="0" w:name="_GoBack"/>
      <w:r w:rsidRPr="00383EEA">
        <w:rPr>
          <w:bCs/>
          <w:color w:val="000000"/>
        </w:rPr>
        <w:t>МПП «АГРЕК»</w:t>
      </w:r>
      <w:bookmarkEnd w:id="0"/>
      <w:r w:rsidRPr="00383EEA">
        <w:rPr>
          <w:bCs/>
          <w:color w:val="000000"/>
        </w:rPr>
        <w:t xml:space="preserve">, код ЄДРПОУ – </w:t>
      </w:r>
      <w:r w:rsidRPr="00383EEA">
        <w:t>21016028</w:t>
      </w:r>
      <w:r w:rsidRPr="00383EEA">
        <w:rPr>
          <w:bCs/>
          <w:color w:val="000000"/>
        </w:rPr>
        <w:t xml:space="preserve">, юридична адреса: </w:t>
      </w:r>
      <w:r w:rsidRPr="00383EEA">
        <w:t xml:space="preserve">65005, Одеська обл., м. Одеса, вул. </w:t>
      </w:r>
      <w:proofErr w:type="spellStart"/>
      <w:r w:rsidRPr="00383EEA">
        <w:t>Бугаївська</w:t>
      </w:r>
      <w:proofErr w:type="spellEnd"/>
      <w:r w:rsidRPr="00383EEA">
        <w:t>, 60</w:t>
      </w:r>
      <w:r w:rsidRPr="00383EEA">
        <w:rPr>
          <w:bCs/>
          <w:color w:val="000000"/>
        </w:rPr>
        <w:t xml:space="preserve">. Адреса </w:t>
      </w:r>
      <w:r w:rsidRPr="00383EEA">
        <w:rPr>
          <w:bCs/>
          <w:noProof/>
          <w:color w:val="000000"/>
        </w:rPr>
        <w:t xml:space="preserve">місцезнаходження обʼєкту: </w:t>
      </w:r>
      <w:r w:rsidRPr="00383EEA">
        <w:rPr>
          <w:noProof/>
        </w:rPr>
        <w:t>68600, Одеська обл., м. Ізмаїл,   Аеродромне шосе, 4</w:t>
      </w:r>
      <w:r w:rsidRPr="00383EEA">
        <w:rPr>
          <w:bCs/>
          <w:noProof/>
          <w:color w:val="000000"/>
        </w:rPr>
        <w:t>.</w:t>
      </w:r>
      <w:r w:rsidRPr="00383EEA">
        <w:rPr>
          <w:bCs/>
          <w:color w:val="000000"/>
        </w:rPr>
        <w:t xml:space="preserve"> </w:t>
      </w:r>
      <w:proofErr w:type="spellStart"/>
      <w:r w:rsidRPr="00383EEA">
        <w:rPr>
          <w:bCs/>
          <w:color w:val="000000"/>
        </w:rPr>
        <w:t>Тел</w:t>
      </w:r>
      <w:proofErr w:type="spellEnd"/>
      <w:r w:rsidRPr="00383EEA">
        <w:rPr>
          <w:bCs/>
          <w:color w:val="000000"/>
        </w:rPr>
        <w:t xml:space="preserve">. </w:t>
      </w:r>
      <w:r w:rsidRPr="00383EEA">
        <w:t xml:space="preserve">+38(048) 732-11-29, </w:t>
      </w:r>
      <w:r w:rsidRPr="00383EEA">
        <w:rPr>
          <w:lang w:val="en-US"/>
        </w:rPr>
        <w:t>email</w:t>
      </w:r>
      <w:r w:rsidRPr="00383EEA">
        <w:t>: evroagrek@ukr.net</w:t>
      </w:r>
      <w:r w:rsidRPr="00383EEA">
        <w:rPr>
          <w:bCs/>
          <w:color w:val="000000"/>
        </w:rPr>
        <w:t xml:space="preserve">) спеціалізується на виробництві асфальтобетонних сумішей різних типів продуктивністю 12 </w:t>
      </w:r>
      <w:proofErr w:type="spellStart"/>
      <w:r w:rsidRPr="00383EEA">
        <w:rPr>
          <w:bCs/>
          <w:color w:val="000000"/>
        </w:rPr>
        <w:t>тис.т</w:t>
      </w:r>
      <w:proofErr w:type="spellEnd"/>
      <w:r w:rsidRPr="00383EEA">
        <w:rPr>
          <w:bCs/>
          <w:color w:val="000000"/>
        </w:rPr>
        <w:t>/рік.</w:t>
      </w:r>
      <w:r w:rsidRPr="00383EEA">
        <w:rPr>
          <w:bCs/>
          <w:iCs/>
          <w:color w:val="000000"/>
        </w:rPr>
        <w:t xml:space="preserve"> Має на меті отримати дозвіл на викиди для існуючого об’єкту.</w:t>
      </w:r>
    </w:p>
    <w:p w14:paraId="58D8568E" w14:textId="77777777" w:rsidR="00383EEA" w:rsidRPr="00383EEA" w:rsidRDefault="00383EEA" w:rsidP="00383EEA">
      <w:pPr>
        <w:ind w:firstLine="709"/>
        <w:jc w:val="both"/>
        <w:rPr>
          <w:bCs/>
          <w:color w:val="000000"/>
        </w:rPr>
      </w:pPr>
      <w:r w:rsidRPr="00383EEA">
        <w:rPr>
          <w:bCs/>
          <w:color w:val="000000"/>
        </w:rPr>
        <w:t xml:space="preserve">Згідно з вимогами Закону України «Про оцінку впливу на довкілля» дана діяльність не підлягає оцінці впливу на довкілля. </w:t>
      </w:r>
    </w:p>
    <w:p w14:paraId="7E7D70CE" w14:textId="77777777" w:rsidR="00383EEA" w:rsidRPr="00383EEA" w:rsidRDefault="00383EEA" w:rsidP="00383EEA">
      <w:pPr>
        <w:ind w:firstLine="709"/>
        <w:jc w:val="both"/>
        <w:rPr>
          <w:bCs/>
          <w:color w:val="000000"/>
        </w:rPr>
      </w:pPr>
      <w:r w:rsidRPr="00383EEA">
        <w:rPr>
          <w:bCs/>
          <w:color w:val="000000"/>
        </w:rPr>
        <w:t xml:space="preserve">Основними джерелами впливу на атмосферне повітря </w:t>
      </w:r>
      <w:r w:rsidRPr="00383EEA">
        <w:rPr>
          <w:bCs/>
          <w:noProof/>
          <w:color w:val="000000"/>
        </w:rPr>
        <w:t xml:space="preserve">обʼєкту є: склад інертних матеріалів, </w:t>
      </w:r>
      <w:r w:rsidRPr="00383EEA">
        <w:rPr>
          <w:noProof/>
        </w:rPr>
        <w:t>АЗУ Д-117-2К та Д-597, котли АОГВ 23 - 2 од</w:t>
      </w:r>
      <w:r w:rsidRPr="00383EEA">
        <w:rPr>
          <w:bCs/>
          <w:color w:val="000000"/>
        </w:rPr>
        <w:t xml:space="preserve">., зварювальні апарати, заточувальний, токарний верстати. Відомості щодо виду та обсягів викидів забруднюючих речовин (далі - ЗР) (у т/рік): залізо – 0,005, манган – 0,0004, ртуть – 0,0000006, речовини у вигляді суспендованих твердих частинок – 6,161, оксиди азоту </w:t>
      </w:r>
      <w:r w:rsidRPr="00383EEA">
        <w:rPr>
          <w:bCs/>
          <w:color w:val="000000"/>
          <w:lang w:val="en-US"/>
        </w:rPr>
        <w:t>N</w:t>
      </w:r>
      <w:r w:rsidRPr="00383EEA">
        <w:rPr>
          <w:bCs/>
          <w:color w:val="000000"/>
        </w:rPr>
        <w:t xml:space="preserve">О2 – 0,346, азоту (І) оксид </w:t>
      </w:r>
      <w:r w:rsidRPr="00383EEA">
        <w:rPr>
          <w:bCs/>
          <w:color w:val="000000"/>
          <w:lang w:val="en-US"/>
        </w:rPr>
        <w:t>N</w:t>
      </w:r>
      <w:r w:rsidRPr="00383EEA">
        <w:rPr>
          <w:bCs/>
          <w:color w:val="000000"/>
        </w:rPr>
        <w:t>2</w:t>
      </w:r>
      <w:r w:rsidRPr="00383EEA">
        <w:rPr>
          <w:bCs/>
          <w:color w:val="000000"/>
          <w:lang w:val="en-US"/>
        </w:rPr>
        <w:t>O</w:t>
      </w:r>
      <w:r w:rsidRPr="00383EEA">
        <w:rPr>
          <w:bCs/>
          <w:color w:val="000000"/>
        </w:rPr>
        <w:t xml:space="preserve"> - 0,0006, оксид вуглецю – 0,474, вуглецю діоксид - </w:t>
      </w:r>
      <w:r w:rsidRPr="00383EEA">
        <w:rPr>
          <w:iCs/>
        </w:rPr>
        <w:t>346,519</w:t>
      </w:r>
      <w:r w:rsidRPr="00383EEA">
        <w:rPr>
          <w:bCs/>
          <w:color w:val="000000"/>
        </w:rPr>
        <w:t xml:space="preserve">, фенол – 0,006, формальдегід – 0,007, вуглеводні насичені С12-С19 – 2,087, метан- 0,006, всього – 355,612. </w:t>
      </w:r>
    </w:p>
    <w:p w14:paraId="2D5D8C44" w14:textId="77777777" w:rsidR="00383EEA" w:rsidRPr="00383EEA" w:rsidRDefault="00383EEA" w:rsidP="00383EEA">
      <w:pPr>
        <w:ind w:firstLine="709"/>
        <w:jc w:val="both"/>
        <w:rPr>
          <w:bCs/>
          <w:color w:val="000000"/>
        </w:rPr>
      </w:pPr>
      <w:r w:rsidRPr="00383EEA">
        <w:rPr>
          <w:bCs/>
          <w:color w:val="000000"/>
        </w:rPr>
        <w:t xml:space="preserve">Об’єкт відноситься до другої групи в залежності від ступеня впливу об’єкта на забруднення атмосферного повітря. </w:t>
      </w:r>
    </w:p>
    <w:p w14:paraId="78DAE916" w14:textId="77777777" w:rsidR="00383EEA" w:rsidRPr="00383EEA" w:rsidRDefault="00383EEA" w:rsidP="00383EEA">
      <w:pPr>
        <w:ind w:firstLine="709"/>
        <w:jc w:val="both"/>
        <w:rPr>
          <w:bCs/>
          <w:color w:val="000000"/>
        </w:rPr>
      </w:pPr>
      <w:r w:rsidRPr="00383EEA">
        <w:rPr>
          <w:bCs/>
          <w:color w:val="000000"/>
        </w:rPr>
        <w:t>Заходи щодо впровадження найкращих існуючих технологій виробництва не передбачаються, так як виробництва та технологічне устаткування, на яких вони повинні впроваджуватися, відсутні.</w:t>
      </w:r>
    </w:p>
    <w:p w14:paraId="012CEFC6" w14:textId="77777777" w:rsidR="00383EEA" w:rsidRPr="00383EEA" w:rsidRDefault="00383EEA" w:rsidP="00383EEA">
      <w:pPr>
        <w:ind w:firstLine="709"/>
        <w:jc w:val="both"/>
        <w:rPr>
          <w:bCs/>
          <w:color w:val="000000"/>
        </w:rPr>
      </w:pPr>
      <w:r w:rsidRPr="00383EEA">
        <w:rPr>
          <w:bCs/>
          <w:color w:val="000000"/>
        </w:rPr>
        <w:t xml:space="preserve"> </w:t>
      </w:r>
      <w:r w:rsidRPr="00383EEA">
        <w:rPr>
          <w:color w:val="000000"/>
        </w:rPr>
        <w:t xml:space="preserve">Перевищення гігієнічних нормативів за результатом розрахунку розсіювання ЗР в атмосферному повітрі та за даними, що одержані при проведенні інструментальних методів досліджень концентрацій ЗР акредитованою лабораторією на межі санітарно-захисної зони, не виявлено. </w:t>
      </w:r>
      <w:r w:rsidRPr="00383EEA">
        <w:rPr>
          <w:bCs/>
          <w:color w:val="000000"/>
        </w:rPr>
        <w:t>Санітарно-захисна зона витримана. Фактичні масові концентрації ЗР із стаціонарних джерел не перевищують встановлених значень нормативів граничнодопустимих викидів</w:t>
      </w:r>
      <w:r w:rsidRPr="00383EEA">
        <w:rPr>
          <w:bCs/>
          <w:color w:val="000000"/>
          <w:lang w:val="ru-RU"/>
        </w:rPr>
        <w:t xml:space="preserve"> (</w:t>
      </w:r>
      <w:r w:rsidRPr="00383EEA">
        <w:rPr>
          <w:bCs/>
          <w:color w:val="000000"/>
        </w:rPr>
        <w:t>далі - ГДВ</w:t>
      </w:r>
      <w:r w:rsidRPr="00383EEA">
        <w:rPr>
          <w:bCs/>
          <w:color w:val="000000"/>
          <w:lang w:val="ru-RU"/>
        </w:rPr>
        <w:t>)</w:t>
      </w:r>
      <w:r w:rsidRPr="00383EEA">
        <w:rPr>
          <w:bCs/>
          <w:color w:val="000000"/>
        </w:rPr>
        <w:t xml:space="preserve">. Тому заходи щодо скорочення викидів не передбачаються, а також раніше не встановлювались. </w:t>
      </w:r>
      <w:r w:rsidRPr="00383EEA">
        <w:rPr>
          <w:color w:val="000000"/>
        </w:rPr>
        <w:t xml:space="preserve">Для неорганізованих стаціонарних джерел нормативи ГДВ не встановлюються. Регулювання викидів від цих джерел здійснюється шляхом встановлення вимог. </w:t>
      </w:r>
      <w:r w:rsidRPr="00383EEA">
        <w:rPr>
          <w:bCs/>
          <w:color w:val="FF0000"/>
        </w:rPr>
        <w:t xml:space="preserve"> </w:t>
      </w:r>
      <w:r w:rsidRPr="00383EEA">
        <w:rPr>
          <w:bCs/>
          <w:color w:val="000000"/>
        </w:rPr>
        <w:t xml:space="preserve">Надано пропозиції щодо умов, які встановлюються в дозволі на викиди об’єкту до технологічних процесів, обладнання та споруд, очистки газопилового потоку, виробничого контролю до адміністративних дій у випадку виникнення надзвичайних ситуацій техногенного й природного характеру. </w:t>
      </w:r>
    </w:p>
    <w:p w14:paraId="54D97C4E" w14:textId="33F73F4B" w:rsidR="00D52074" w:rsidRPr="00383EEA" w:rsidRDefault="00383EEA" w:rsidP="00383EEA">
      <w:pPr>
        <w:ind w:firstLine="708"/>
        <w:jc w:val="both"/>
        <w:rPr>
          <w:bCs/>
          <w:i/>
          <w:iCs/>
          <w:color w:val="000000" w:themeColor="text1"/>
          <w:u w:val="single"/>
        </w:rPr>
      </w:pPr>
      <w:r w:rsidRPr="00383EEA">
        <w:rPr>
          <w:bCs/>
          <w:iCs/>
          <w:color w:val="000000"/>
        </w:rPr>
        <w:t xml:space="preserve">Зауваження та пропозиції від громадськості слід направляти протягом 30 календарних днів з дня публікації до Одеської обласної військової адміністрації за адресою: 65032, м. Одеса, пр-т Шевченка, 4. </w:t>
      </w:r>
      <w:proofErr w:type="spellStart"/>
      <w:r w:rsidRPr="00383EEA">
        <w:rPr>
          <w:bCs/>
          <w:iCs/>
          <w:color w:val="000000"/>
        </w:rPr>
        <w:t>Тел</w:t>
      </w:r>
      <w:proofErr w:type="spellEnd"/>
      <w:r w:rsidRPr="00383EEA">
        <w:rPr>
          <w:bCs/>
          <w:iCs/>
          <w:color w:val="000000"/>
        </w:rPr>
        <w:t xml:space="preserve">. 048 718 94 86, </w:t>
      </w:r>
      <w:hyperlink r:id="rId5" w:history="1">
        <w:r w:rsidRPr="00383EEA">
          <w:rPr>
            <w:rStyle w:val="ac"/>
            <w:bCs/>
            <w:iCs/>
            <w:lang w:val="en-US"/>
          </w:rPr>
          <w:t>genotdel</w:t>
        </w:r>
        <w:r w:rsidRPr="00383EEA">
          <w:rPr>
            <w:rStyle w:val="ac"/>
            <w:bCs/>
            <w:iCs/>
          </w:rPr>
          <w:t>@od.gov.ua</w:t>
        </w:r>
      </w:hyperlink>
    </w:p>
    <w:p w14:paraId="428BEA2E" w14:textId="77777777" w:rsidR="008C74E0" w:rsidRDefault="008C74E0" w:rsidP="008F0E3C">
      <w:pPr>
        <w:ind w:firstLine="708"/>
        <w:jc w:val="both"/>
        <w:rPr>
          <w:bCs/>
          <w:i/>
          <w:iCs/>
          <w:color w:val="000000" w:themeColor="text1"/>
          <w:u w:val="single"/>
        </w:rPr>
      </w:pPr>
    </w:p>
    <w:p w14:paraId="48B48D45" w14:textId="102409B3" w:rsidR="008C74E0" w:rsidRPr="006C46AB" w:rsidRDefault="0096418C" w:rsidP="008C74E0">
      <w:pPr>
        <w:jc w:val="both"/>
        <w:rPr>
          <w:bCs/>
          <w:i/>
          <w:iCs/>
          <w:color w:val="000000" w:themeColor="text1"/>
          <w:u w:val="single"/>
          <w:lang w:val="ru-RU"/>
        </w:rPr>
      </w:pPr>
      <w:r>
        <w:rPr>
          <w:bCs/>
          <w:i/>
          <w:iCs/>
          <w:noProof/>
          <w:color w:val="000000" w:themeColor="text1"/>
          <w:u w:val="single"/>
          <w:lang w:eastAsia="uk-UA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19F62" wp14:editId="13689B69">
                <wp:simplePos x="0" y="0"/>
                <wp:positionH relativeFrom="column">
                  <wp:posOffset>-168361</wp:posOffset>
                </wp:positionH>
                <wp:positionV relativeFrom="paragraph">
                  <wp:posOffset>80133</wp:posOffset>
                </wp:positionV>
                <wp:extent cx="6613864" cy="97654"/>
                <wp:effectExtent l="0" t="12700" r="28575" b="29845"/>
                <wp:wrapNone/>
                <wp:docPr id="934588917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3864" cy="9765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73B32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6.3pt" to="50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" strokecolor="#156082 [3204]" strokeweight="3pt">
                <v:stroke joinstyle="miter"/>
              </v:line>
            </w:pict>
          </mc:Fallback>
        </mc:AlternateContent>
      </w:r>
    </w:p>
    <w:p w14:paraId="5DB9FE9B" w14:textId="77777777" w:rsidR="008C74E0" w:rsidRDefault="008C74E0" w:rsidP="008F0E3C">
      <w:pPr>
        <w:ind w:firstLine="708"/>
        <w:jc w:val="both"/>
      </w:pPr>
    </w:p>
    <w:sectPr w:rsidR="008C74E0" w:rsidSect="00794CCA">
      <w:pgSz w:w="11906" w:h="16838"/>
      <w:pgMar w:top="527" w:right="827" w:bottom="81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74"/>
    <w:rsid w:val="001339C5"/>
    <w:rsid w:val="001E0FE9"/>
    <w:rsid w:val="00282DAB"/>
    <w:rsid w:val="002E7CAF"/>
    <w:rsid w:val="00312EA1"/>
    <w:rsid w:val="00367F76"/>
    <w:rsid w:val="003724B5"/>
    <w:rsid w:val="00383EEA"/>
    <w:rsid w:val="003901F7"/>
    <w:rsid w:val="003A1D82"/>
    <w:rsid w:val="003C57C0"/>
    <w:rsid w:val="003F544D"/>
    <w:rsid w:val="00406C2A"/>
    <w:rsid w:val="00443AB1"/>
    <w:rsid w:val="0048021C"/>
    <w:rsid w:val="004E4877"/>
    <w:rsid w:val="005261BE"/>
    <w:rsid w:val="00543B28"/>
    <w:rsid w:val="005B6D55"/>
    <w:rsid w:val="00654F69"/>
    <w:rsid w:val="006C46AB"/>
    <w:rsid w:val="00726554"/>
    <w:rsid w:val="00746B07"/>
    <w:rsid w:val="00765294"/>
    <w:rsid w:val="00794CCA"/>
    <w:rsid w:val="00864690"/>
    <w:rsid w:val="00866E68"/>
    <w:rsid w:val="008A039A"/>
    <w:rsid w:val="008C24F2"/>
    <w:rsid w:val="008C74E0"/>
    <w:rsid w:val="008F0E3C"/>
    <w:rsid w:val="0090318F"/>
    <w:rsid w:val="00954F6A"/>
    <w:rsid w:val="0096418C"/>
    <w:rsid w:val="009B2457"/>
    <w:rsid w:val="00A06ACD"/>
    <w:rsid w:val="00A50F97"/>
    <w:rsid w:val="00AE3F89"/>
    <w:rsid w:val="00B52DCD"/>
    <w:rsid w:val="00C36950"/>
    <w:rsid w:val="00CA608E"/>
    <w:rsid w:val="00CE708A"/>
    <w:rsid w:val="00CF6CE9"/>
    <w:rsid w:val="00D52074"/>
    <w:rsid w:val="00E238E0"/>
    <w:rsid w:val="00E716DF"/>
    <w:rsid w:val="00EA7178"/>
    <w:rsid w:val="00F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8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4"/>
    <w:pPr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5207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07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07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07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07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07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07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07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07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520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520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207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207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207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5207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5207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5207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520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D52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207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D520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5207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D5207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5207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D5207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520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D5207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5207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C7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character" w:styleId="ac">
    <w:name w:val="Hyperlink"/>
    <w:basedOn w:val="a0"/>
    <w:uiPriority w:val="99"/>
    <w:unhideWhenUsed/>
    <w:rsid w:val="006C46AB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6AB"/>
    <w:rPr>
      <w:color w:val="605E5C"/>
      <w:shd w:val="clear" w:color="auto" w:fill="E1DFDD"/>
    </w:rPr>
  </w:style>
  <w:style w:type="character" w:customStyle="1" w:styleId="gmailsignatureprefix">
    <w:name w:val="gmail_signature_prefix"/>
    <w:basedOn w:val="a0"/>
    <w:rsid w:val="00E238E0"/>
  </w:style>
  <w:style w:type="character" w:customStyle="1" w:styleId="gmail-apple-converted-space">
    <w:name w:val="gmail-apple-converted-space"/>
    <w:basedOn w:val="a0"/>
    <w:rsid w:val="00E23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4"/>
    <w:pPr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5207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07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07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07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07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07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07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07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07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520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520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207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207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207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5207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5207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5207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520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D52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207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D520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5207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D5207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5207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D5207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520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D5207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5207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C7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character" w:styleId="ac">
    <w:name w:val="Hyperlink"/>
    <w:basedOn w:val="a0"/>
    <w:uiPriority w:val="99"/>
    <w:unhideWhenUsed/>
    <w:rsid w:val="006C46AB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6AB"/>
    <w:rPr>
      <w:color w:val="605E5C"/>
      <w:shd w:val="clear" w:color="auto" w:fill="E1DFDD"/>
    </w:rPr>
  </w:style>
  <w:style w:type="character" w:customStyle="1" w:styleId="gmailsignatureprefix">
    <w:name w:val="gmail_signature_prefix"/>
    <w:basedOn w:val="a0"/>
    <w:rsid w:val="00E238E0"/>
  </w:style>
  <w:style w:type="character" w:customStyle="1" w:styleId="gmail-apple-converted-space">
    <w:name w:val="gmail-apple-converted-space"/>
    <w:basedOn w:val="a0"/>
    <w:rsid w:val="00E2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otdel@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Проць</dc:creator>
  <cp:lastModifiedBy>Тарасенко Ольга Володимирівна</cp:lastModifiedBy>
  <cp:revision>2</cp:revision>
  <dcterms:created xsi:type="dcterms:W3CDTF">2024-07-02T07:27:00Z</dcterms:created>
  <dcterms:modified xsi:type="dcterms:W3CDTF">2024-07-02T07:27:00Z</dcterms:modified>
</cp:coreProperties>
</file>