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FD11A1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1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FD11A1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685147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Укрлісхолдінг-Трейд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685147">
        <w:rPr>
          <w:rFonts w:ascii="Times New Roman" w:hAnsi="Times New Roman" w:cs="Times New Roman"/>
          <w:sz w:val="24"/>
          <w:szCs w:val="24"/>
        </w:rPr>
        <w:t xml:space="preserve">, ідентифікаційний код ЄДРПОУ: 44316151, юридична та фактична адреса: 82042, Львівська обл., Самбірський    р-н, 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Добромильська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 МТГ,  м.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Добромиль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, вул. Галицька, буд. 92,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>: +380678100022,                                     e-mail:</w:t>
      </w:r>
      <w:r w:rsidRPr="00685147">
        <w:rPr>
          <w:rFonts w:ascii="Times New Roman" w:hAnsi="Times New Roman" w:cs="Times New Roman"/>
          <w:sz w:val="24"/>
          <w:szCs w:val="24"/>
          <w:lang w:val="en-US"/>
        </w:rPr>
        <w:t xml:space="preserve"> ukrlisholdingtrade21</w:t>
      </w:r>
      <w:r w:rsidRPr="00685147">
        <w:rPr>
          <w:rFonts w:ascii="Times New Roman" w:hAnsi="Times New Roman" w:cs="Times New Roman"/>
          <w:sz w:val="24"/>
          <w:szCs w:val="24"/>
        </w:rPr>
        <w:t>@gmail.com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147">
        <w:rPr>
          <w:rFonts w:ascii="Times New Roman" w:hAnsi="Times New Roman" w:cs="Times New Roman"/>
          <w:sz w:val="24"/>
          <w:szCs w:val="24"/>
        </w:rPr>
        <w:t>Мета отримання дозволу на викиди: отримати дозвіл на викиди забруднюючих речовин в атмосферне повітря для діючого підприємства.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>Підприємство здійснює діяльність відповідно до КВЕД 16.21 Виробництво фанери, дерев</w:t>
      </w:r>
      <w:r w:rsidRPr="00685147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яних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 плит і панелей, шпону.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>Відомості щодо видів та обсягів викидів забруднюючих речовин: азоту оксид-4,952 т/рік, оксиду вуглецю-3,612</w:t>
      </w:r>
      <w:r w:rsidRPr="00685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147">
        <w:rPr>
          <w:rFonts w:ascii="Times New Roman" w:hAnsi="Times New Roman" w:cs="Times New Roman"/>
          <w:sz w:val="24"/>
          <w:szCs w:val="24"/>
        </w:rPr>
        <w:t>т/рік, речовини у вигляді суспендованих твердих частинок-6,770 т/рік,</w:t>
      </w:r>
      <w:r w:rsidRPr="0068514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685147">
        <w:rPr>
          <w:rFonts w:ascii="Times New Roman" w:hAnsi="Times New Roman" w:cs="Times New Roman"/>
          <w:sz w:val="24"/>
          <w:szCs w:val="24"/>
        </w:rPr>
        <w:t>масло мінеральне -0,00096 т/рік;</w:t>
      </w:r>
      <w:r w:rsidRPr="006851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147">
        <w:rPr>
          <w:rFonts w:ascii="Times New Roman" w:hAnsi="Times New Roman" w:cs="Times New Roman"/>
          <w:sz w:val="24"/>
          <w:szCs w:val="24"/>
        </w:rPr>
        <w:t>парникові гази (метан, діоксид вуглецю, азоту (1) оксид [N2O]) – 3079,038т/рік.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147">
        <w:rPr>
          <w:rFonts w:ascii="Times New Roman" w:hAnsi="Times New Roman" w:cs="Times New Roman"/>
          <w:sz w:val="24"/>
          <w:szCs w:val="24"/>
        </w:rPr>
        <w:t xml:space="preserve">Відповідно до Наказу Міністерства охорони навколишнього природного середовища України №448 від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 27.06.2023 р. заходи щодо впровадження найкращих існуючих технологій виробництва та заходи щодо скорочення викидів не розроблялися, за ступенем впливу на забруднення атмосферного повітря об’єкт належить до</w:t>
      </w:r>
      <w:r w:rsidR="003D4368">
        <w:rPr>
          <w:rFonts w:ascii="Times New Roman" w:hAnsi="Times New Roman" w:cs="Times New Roman"/>
          <w:sz w:val="24"/>
          <w:szCs w:val="24"/>
        </w:rPr>
        <w:t xml:space="preserve"> </w:t>
      </w:r>
      <w:r w:rsidRPr="00685147">
        <w:rPr>
          <w:rFonts w:ascii="Times New Roman" w:hAnsi="Times New Roman" w:cs="Times New Roman"/>
          <w:sz w:val="24"/>
          <w:szCs w:val="24"/>
        </w:rPr>
        <w:t>другої групи.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685147" w:rsidRPr="00685147" w:rsidRDefault="00685147" w:rsidP="006851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Львівської обласної державної адміністрації/департаменту екології та природних ресурсів облдержадміністрації за адресами: 79008, м. Львів, вул. Винниченка, 18 та 79026, м. Львів, вул.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Стрийська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 xml:space="preserve">, 98: </w:t>
      </w:r>
      <w:proofErr w:type="spellStart"/>
      <w:r w:rsidRPr="006851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85147">
        <w:rPr>
          <w:rFonts w:ascii="Times New Roman" w:hAnsi="Times New Roman" w:cs="Times New Roman"/>
          <w:sz w:val="24"/>
          <w:szCs w:val="24"/>
        </w:rPr>
        <w:t>. 238-73-83,</w:t>
      </w:r>
      <w:r w:rsidRPr="0068514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85147">
        <w:rPr>
          <w:rFonts w:ascii="Times New Roman" w:hAnsi="Times New Roman" w:cs="Times New Roman"/>
          <w:sz w:val="24"/>
          <w:szCs w:val="24"/>
        </w:rPr>
        <w:t xml:space="preserve"> e-mail: envir@loda.gov.ua.</w:t>
      </w:r>
    </w:p>
    <w:p w:rsidR="00BF6071" w:rsidRPr="00685147" w:rsidRDefault="00685147" w:rsidP="006851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147">
        <w:rPr>
          <w:rFonts w:ascii="Times New Roman" w:hAnsi="Times New Roman" w:cs="Times New Roman"/>
          <w:sz w:val="24"/>
          <w:szCs w:val="24"/>
        </w:rPr>
        <w:tab/>
      </w:r>
    </w:p>
    <w:sectPr w:rsidR="00BF6071" w:rsidRPr="00685147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33411"/>
    <w:rsid w:val="00041DF1"/>
    <w:rsid w:val="0005134C"/>
    <w:rsid w:val="00055A8B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1F5A59"/>
    <w:rsid w:val="00201A0F"/>
    <w:rsid w:val="002232AF"/>
    <w:rsid w:val="00232466"/>
    <w:rsid w:val="002406FD"/>
    <w:rsid w:val="002512B1"/>
    <w:rsid w:val="00251CB7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1E56"/>
    <w:rsid w:val="00342F42"/>
    <w:rsid w:val="003458BB"/>
    <w:rsid w:val="003559D3"/>
    <w:rsid w:val="003740E4"/>
    <w:rsid w:val="00374DD9"/>
    <w:rsid w:val="003751F1"/>
    <w:rsid w:val="00384EE0"/>
    <w:rsid w:val="00393A87"/>
    <w:rsid w:val="00396733"/>
    <w:rsid w:val="00396D49"/>
    <w:rsid w:val="003A1F2E"/>
    <w:rsid w:val="003A345F"/>
    <w:rsid w:val="003B001D"/>
    <w:rsid w:val="003B3FE4"/>
    <w:rsid w:val="003C7D9D"/>
    <w:rsid w:val="003D4368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C1AF0"/>
    <w:rsid w:val="005E1414"/>
    <w:rsid w:val="005E32B0"/>
    <w:rsid w:val="005F6E47"/>
    <w:rsid w:val="0060763F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85147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28DB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0F9F"/>
    <w:rsid w:val="00C61B07"/>
    <w:rsid w:val="00C65379"/>
    <w:rsid w:val="00C91EBF"/>
    <w:rsid w:val="00CA6754"/>
    <w:rsid w:val="00CA78A2"/>
    <w:rsid w:val="00CC6AB0"/>
    <w:rsid w:val="00CF07C3"/>
    <w:rsid w:val="00CF5D66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DC66D4"/>
    <w:rsid w:val="00E01063"/>
    <w:rsid w:val="00E0377A"/>
    <w:rsid w:val="00E11270"/>
    <w:rsid w:val="00E17007"/>
    <w:rsid w:val="00E332C7"/>
    <w:rsid w:val="00E43D20"/>
    <w:rsid w:val="00E551ED"/>
    <w:rsid w:val="00E56A78"/>
    <w:rsid w:val="00E9560F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0585B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5F99"/>
    <w:rsid w:val="00FB73B3"/>
    <w:rsid w:val="00FC510F"/>
    <w:rsid w:val="00FD11A1"/>
    <w:rsid w:val="00FD3F2D"/>
    <w:rsid w:val="00FD53E4"/>
    <w:rsid w:val="00FD7B25"/>
    <w:rsid w:val="00FE67AF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2023-10-09T09:10:00Z</cp:lastPrinted>
  <dcterms:created xsi:type="dcterms:W3CDTF">2024-07-15T11:13:00Z</dcterms:created>
  <dcterms:modified xsi:type="dcterms:W3CDTF">2024-07-15T11:13:00Z</dcterms:modified>
</cp:coreProperties>
</file>