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1934"/>
        <w:gridCol w:w="2881"/>
        <w:gridCol w:w="2693"/>
        <w:gridCol w:w="5515"/>
        <w:gridCol w:w="2423"/>
      </w:tblGrid>
      <w:tr w:rsidR="00E620A3" w:rsidTr="009B4BB5">
        <w:tc>
          <w:tcPr>
            <w:tcW w:w="1934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881" w:type="dxa"/>
          </w:tcPr>
          <w:p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dxa"/>
          </w:tcPr>
          <w:p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9B4BB5">
        <w:trPr>
          <w:trHeight w:val="2204"/>
        </w:trPr>
        <w:tc>
          <w:tcPr>
            <w:tcW w:w="1934" w:type="dxa"/>
          </w:tcPr>
          <w:p w:rsidR="00501C04" w:rsidRDefault="00E03E06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B4BB5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501C04" w:rsidRDefault="00E03E06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29579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881" w:type="dxa"/>
          </w:tcPr>
          <w:p w:rsidR="009B4BB5" w:rsidRPr="009B4BB5" w:rsidRDefault="009B4BB5" w:rsidP="00007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ТОВАРИСТВО З ОБМЕЖЕНОЮ ВІДПОВІДАЛЬ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НІСТ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«</w:t>
            </w:r>
            <w:r w:rsidR="00E03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ПЛАНЕТА-ІНКС</w:t>
            </w:r>
            <w:r w:rsidRPr="009B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01C04" w:rsidRDefault="00135871" w:rsidP="0000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E03E06">
              <w:rPr>
                <w:rFonts w:ascii="Times New Roman" w:hAnsi="Times New Roman"/>
                <w:sz w:val="28"/>
                <w:szCs w:val="28"/>
              </w:rPr>
              <w:t>37298747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7841E9" w:rsidRPr="007841E9" w:rsidRDefault="00E03E06" w:rsidP="009B4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Промисловий майданчик: вул. Замглайське шосе, 3, с. Ріпки, Чернігівський район, Чернігівська область, 15000</w:t>
            </w:r>
          </w:p>
          <w:p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:rsidR="009062F8" w:rsidRDefault="006F0BC6" w:rsidP="006F0BC6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73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Заява 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про отримання дозволу на викиди не відповідає вимогам пункту 31 Порядку проведення робіт, пов’язаних з видачею дозволів на викиди забруднюючих речовин в атмосферне повітря стаціонарними джерелами, обліку суб’єктів господарювання, які отримали такі дозволи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затвердженого постановою Кабінету Міністрів України від 13.03.2002 № 302</w:t>
            </w:r>
            <w:r w:rsidR="009062F8">
              <w:rPr>
                <w:rFonts w:ascii="Times New Roman" w:hAnsi="Times New Roman"/>
                <w:sz w:val="28"/>
                <w:szCs w:val="28"/>
              </w:rPr>
              <w:t xml:space="preserve"> (далі – Порядок)</w:t>
            </w:r>
            <w:r w:rsidRPr="000B73CD">
              <w:rPr>
                <w:rFonts w:ascii="Times New Roman" w:hAnsi="Times New Roman"/>
                <w:sz w:val="28"/>
                <w:szCs w:val="28"/>
              </w:rPr>
              <w:t>, а саме</w:t>
            </w:r>
            <w:r w:rsidR="00D17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17BDC" w:rsidRPr="000B73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7BDC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необхідно зазначити </w:t>
            </w:r>
            <w:r w:rsidR="00D17BDC" w:rsidRPr="000B73CD">
              <w:rPr>
                <w:rFonts w:ascii="Times New Roman" w:hAnsi="Times New Roman" w:cs="Times New Roman"/>
                <w:sz w:val="28"/>
                <w:szCs w:val="28"/>
              </w:rPr>
              <w:t>перелік документів, що додаються до заяви відповідно до пункту 30 цього Порядку</w:t>
            </w:r>
            <w:r w:rsidRPr="000B73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</w:t>
            </w:r>
            <w:r w:rsidRPr="00BC2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1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:rsidR="008D3A48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Міністерстві юстиції України 23.08.2023 за № 1475/40531 (далі – Інструкція), а саме: </w:t>
            </w:r>
          </w:p>
          <w:p w:rsidR="0088480F" w:rsidRDefault="0088480F" w:rsidP="0088480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у вступній частині у розділі щодо зазначення мети надання документів не визначено критерії належності об’єкта до відповідної групи,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зазначено інформацію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про взяття об’єкта на державний облік;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вірно зазначено </w:t>
            </w:r>
            <w:r w:rsidRPr="00EC5471">
              <w:rPr>
                <w:rFonts w:ascii="Times New Roman" w:hAnsi="Times New Roman" w:cs="Times New Roman"/>
                <w:sz w:val="28"/>
                <w:szCs w:val="28"/>
              </w:rPr>
              <w:t>виробництв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та технологічне</w:t>
            </w:r>
            <w:r w:rsidRPr="00EC5471">
              <w:rPr>
                <w:rFonts w:ascii="Times New Roman" w:hAnsi="Times New Roman" w:cs="Times New Roman"/>
                <w:sz w:val="28"/>
                <w:szCs w:val="28"/>
              </w:rPr>
              <w:t xml:space="preserve"> устаткування, на яких повинні впроваджуватися найкращі доступні технології та методи керування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Відсутня порівняльна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974788">
              <w:rPr>
                <w:rFonts w:ascii="Times New Roman" w:hAnsi="Times New Roman" w:cs="Times New Roman"/>
                <w:sz w:val="28"/>
                <w:szCs w:val="28"/>
              </w:rPr>
              <w:t xml:space="preserve"> із попереднім дозволом на викиди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23CF4">
              <w:rPr>
                <w:rFonts w:ascii="Times New Roman" w:hAnsi="Times New Roman" w:cs="Times New Roman"/>
                <w:sz w:val="28"/>
                <w:szCs w:val="28"/>
              </w:rPr>
              <w:t xml:space="preserve">надається інформація із змінами, що вносяться у порівнянні з попереднім дозволом, зміна нумерації джерел викидів з наданням відомостей стосовно наявних джерел викидів та </w:t>
            </w:r>
            <w:r w:rsidRPr="00C23C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новостворених джерел викидів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відповідно до пункту 2 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80F" w:rsidRDefault="0088480F" w:rsidP="0088480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1B3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 w:rsidRPr="00E1721B">
              <w:rPr>
                <w:rFonts w:ascii="Times New Roman" w:hAnsi="Times New Roman" w:cs="Times New Roman"/>
                <w:sz w:val="28"/>
                <w:szCs w:val="28"/>
              </w:rPr>
              <w:t>зазначено технологічні зв’язки, відомості про виробничу потужність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відповідно до вимог пункту 3.1 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480F" w:rsidRDefault="0088480F" w:rsidP="0088480F">
            <w:pPr>
              <w:spacing w:line="228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5B1">
              <w:rPr>
                <w:rFonts w:ascii="Times New Roman" w:hAnsi="Times New Roman" w:cs="Times New Roman"/>
                <w:sz w:val="28"/>
                <w:szCs w:val="28"/>
              </w:rPr>
              <w:t>інформація щодо матеріального балансу не містить докладного підрахунку кількості матеріалів на вході і на виході в розрізі виробничого процесу чи окремої операції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5B1">
              <w:rPr>
                <w:rFonts w:ascii="Times New Roman" w:hAnsi="Times New Roman" w:cs="Times New Roman"/>
                <w:sz w:val="28"/>
                <w:szCs w:val="28"/>
              </w:rPr>
              <w:t>відповідно до вимог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ункту 3.3 розділу ІІ Інструкції.</w:t>
            </w:r>
          </w:p>
          <w:p w:rsidR="0088480F" w:rsidRDefault="0088480F" w:rsidP="0088480F">
            <w:pPr>
              <w:spacing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F76">
              <w:rPr>
                <w:rFonts w:ascii="Times New Roman" w:hAnsi="Times New Roman"/>
                <w:sz w:val="28"/>
                <w:szCs w:val="28"/>
              </w:rPr>
              <w:t>інформація щодо виробничої структури об’єкта не містить детального опису основних виробничих процесів, опис технологічного устаткування, а також відсутня блок-схема виробничого процесу, із зазначенням основних, допоміжних, підсобних та побічних виробництв відповідно до вимог пункту 3.4 розділу ІІ Інструкції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(відсутня інформація по водогрійним котлам, режиму їх роботи, виду палива). Крім того, не коректно зазначено інформацію про планову діяльність ТОВ «ПЛАНЕТА-ІНКС» у розділі 2.3.4 документів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8480F" w:rsidRDefault="0088480F" w:rsidP="0088480F">
            <w:pPr>
              <w:spacing w:line="228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вірно зазначено </w:t>
            </w:r>
            <w:r w:rsidRPr="00227BDD">
              <w:rPr>
                <w:rFonts w:ascii="Times New Roman" w:hAnsi="Times New Roman"/>
                <w:sz w:val="28"/>
                <w:szCs w:val="28"/>
              </w:rPr>
              <w:t>проєктну та фактичну виробничу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потужності та продуктивність</w:t>
            </w:r>
            <w:r w:rsidRPr="00227BDD">
              <w:rPr>
                <w:rFonts w:ascii="Times New Roman" w:hAnsi="Times New Roman"/>
                <w:sz w:val="28"/>
                <w:szCs w:val="28"/>
              </w:rPr>
              <w:t xml:space="preserve"> технологічного устаткування,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 зазначено </w:t>
            </w:r>
            <w:r w:rsidRPr="00227BDD">
              <w:rPr>
                <w:rFonts w:ascii="Times New Roman" w:hAnsi="Times New Roman"/>
                <w:sz w:val="28"/>
                <w:szCs w:val="28"/>
              </w:rPr>
              <w:t xml:space="preserve">режим роботи устаткування,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відсутня інформація про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заходи з </w:t>
            </w:r>
            <w:r w:rsidRPr="00227BDD">
              <w:rPr>
                <w:rFonts w:ascii="Times New Roman" w:hAnsi="Times New Roman"/>
                <w:sz w:val="28"/>
                <w:szCs w:val="28"/>
              </w:rPr>
              <w:t>проведення реконструкції або модернізації технологічного устаткування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урахуванням закінчення нормативного строку його амортизації;</w:t>
            </w:r>
          </w:p>
          <w:p w:rsidR="0088480F" w:rsidRDefault="0088480F" w:rsidP="0088480F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A5BBE">
              <w:rPr>
                <w:rFonts w:ascii="Times New Roman" w:hAnsi="Times New Roman" w:cs="Times New Roman"/>
                <w:sz w:val="28"/>
                <w:szCs w:val="28"/>
              </w:rPr>
              <w:t xml:space="preserve">ідомості щодо використання палива для технологічних потреб, вироблення тепла, пари та електричної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енергії в таблиці 4.1 суперечить наданій інформації про матеріальні баланси</w:t>
            </w:r>
            <w:r w:rsidRPr="00BA5BBE">
              <w:rPr>
                <w:rFonts w:ascii="Times New Roman" w:hAnsi="Times New Roman" w:cs="Times New Roman"/>
                <w:sz w:val="28"/>
                <w:szCs w:val="28"/>
              </w:rPr>
              <w:t xml:space="preserve"> в розрізі виробничого процесу чи окремої операції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розділі 2.3.3 документів;</w:t>
            </w:r>
          </w:p>
          <w:p w:rsidR="0088480F" w:rsidRPr="00BA5BBE" w:rsidRDefault="0088480F" w:rsidP="0088480F">
            <w:pPr>
              <w:spacing w:line="228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9B6">
              <w:rPr>
                <w:rFonts w:ascii="Times New Roman" w:hAnsi="Times New Roman" w:cs="Times New Roman"/>
                <w:sz w:val="28"/>
                <w:szCs w:val="28"/>
              </w:rPr>
              <w:t>характеристика джер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 утворення та джерел викидів </w:t>
            </w:r>
            <w:r w:rsidRPr="006039B6">
              <w:rPr>
                <w:rFonts w:ascii="Times New Roman" w:hAnsi="Times New Roman" w:cs="Times New Roman"/>
                <w:sz w:val="28"/>
                <w:szCs w:val="28"/>
              </w:rPr>
              <w:t>забруднюючих речовин в атмосферне повітря та їх параметрів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наведена у таблиці 6.2 документів надана в нечитабельному вигляді;</w:t>
            </w:r>
          </w:p>
          <w:p w:rsidR="0088480F" w:rsidRPr="00804098" w:rsidRDefault="0088480F" w:rsidP="0088480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не вірно зазначено найменування забруднюючих речовин відповідно до вимог пункту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розділу ІІ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>Інструкції (найменування забруднюючої речовини заповнюється з використанням нормативних документів за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кими здійснюється регулювання); </w:t>
            </w:r>
            <w:r w:rsidRPr="001478E6">
              <w:rPr>
                <w:rFonts w:ascii="Times New Roman" w:hAnsi="Times New Roman" w:cs="Times New Roman"/>
                <w:sz w:val="28"/>
                <w:szCs w:val="28"/>
              </w:rPr>
              <w:t>пропозиції щодо дозволених обсягів викидів забруднюючих речовин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Pr="001478E6">
              <w:rPr>
                <w:rFonts w:ascii="Times New Roman" w:hAnsi="Times New Roman" w:cs="Times New Roman"/>
                <w:sz w:val="28"/>
                <w:szCs w:val="28"/>
              </w:rPr>
              <w:t>заходи щодо здійснення контролю за дотриманням встановлених нормативів гранично допустимих викидів забруднюючих речовин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доопрацювати з урахуванням вірно зазначених найменувань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t xml:space="preserve"> забруднюючих речовин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 також з урахуванням </w:t>
            </w:r>
            <w:r w:rsidRPr="00646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нормативних документів за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кими здійснюється регулювання;</w:t>
            </w:r>
          </w:p>
          <w:p w:rsidR="0088480F" w:rsidRPr="00804098" w:rsidRDefault="0088480F" w:rsidP="0088480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заходи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>щодо охорони атмосферного повітря при несприятливих метеорологічних умовах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098">
              <w:rPr>
                <w:rFonts w:ascii="Times New Roman" w:hAnsi="Times New Roman" w:cs="Times New Roman"/>
                <w:sz w:val="28"/>
                <w:szCs w:val="28"/>
              </w:rPr>
              <w:t>надано не вірно (заходи надаються з урахуванням інформації</w:t>
            </w:r>
            <w:r w:rsidRPr="00903F76">
              <w:rPr>
                <w:rFonts w:ascii="Times New Roman" w:hAnsi="Times New Roman"/>
                <w:sz w:val="28"/>
                <w:szCs w:val="28"/>
              </w:rPr>
              <w:t xml:space="preserve"> від гідрометеорологічних організацій ДСНС про проведення прогнозування несприятливих метеорологічних умов).</w:t>
            </w:r>
          </w:p>
          <w:p w:rsidR="00501C04" w:rsidRPr="0005542E" w:rsidRDefault="0088480F" w:rsidP="0088480F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Необхідно зазначити всі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 xml:space="preserve"> джерел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 xml:space="preserve"> інформації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які</w:t>
            </w:r>
            <w:r w:rsidRPr="00544F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332">
              <w:rPr>
                <w:rFonts w:ascii="Times New Roman" w:hAnsi="Times New Roman" w:cs="Times New Roman"/>
                <w:sz w:val="28"/>
                <w:szCs w:val="28"/>
              </w:rPr>
              <w:t>були використані при підготовці документів, в яких обґрунтовуються обсяги викидів.</w:t>
            </w:r>
          </w:p>
        </w:tc>
        <w:tc>
          <w:tcPr>
            <w:tcW w:w="2423" w:type="dxa"/>
          </w:tcPr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відповідної заяви та документів для отримання дозволу на викиди і документів, які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засвідчують усунення причин, що стали підставою для відмови.</w:t>
            </w:r>
          </w:p>
          <w:p w:rsidR="00501C04" w:rsidRDefault="00501C04" w:rsidP="00192F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A2E" w:rsidRDefault="00AF2A2E" w:rsidP="0071143E">
      <w:pPr>
        <w:spacing w:after="0" w:line="240" w:lineRule="auto"/>
      </w:pPr>
      <w:r>
        <w:separator/>
      </w:r>
    </w:p>
  </w:endnote>
  <w:endnote w:type="continuationSeparator" w:id="0">
    <w:p w:rsidR="00AF2A2E" w:rsidRDefault="00AF2A2E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A2E" w:rsidRDefault="00AF2A2E" w:rsidP="0071143E">
      <w:pPr>
        <w:spacing w:after="0" w:line="240" w:lineRule="auto"/>
      </w:pPr>
      <w:r>
        <w:separator/>
      </w:r>
    </w:p>
  </w:footnote>
  <w:footnote w:type="continuationSeparator" w:id="0">
    <w:p w:rsidR="00AF2A2E" w:rsidRDefault="00AF2A2E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019" w:rsidRPr="00B13019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64FD"/>
    <w:rsid w:val="00007BD1"/>
    <w:rsid w:val="00032312"/>
    <w:rsid w:val="00044825"/>
    <w:rsid w:val="0004661E"/>
    <w:rsid w:val="0005542E"/>
    <w:rsid w:val="000A1CDB"/>
    <w:rsid w:val="000B4578"/>
    <w:rsid w:val="000E5B54"/>
    <w:rsid w:val="00100B3F"/>
    <w:rsid w:val="0012202C"/>
    <w:rsid w:val="00135871"/>
    <w:rsid w:val="00150199"/>
    <w:rsid w:val="001776EA"/>
    <w:rsid w:val="00185D1B"/>
    <w:rsid w:val="00192F63"/>
    <w:rsid w:val="001A4EE9"/>
    <w:rsid w:val="001E2720"/>
    <w:rsid w:val="00220D8A"/>
    <w:rsid w:val="00226512"/>
    <w:rsid w:val="00235B5E"/>
    <w:rsid w:val="00260645"/>
    <w:rsid w:val="002A1461"/>
    <w:rsid w:val="002E25F4"/>
    <w:rsid w:val="003353D0"/>
    <w:rsid w:val="00390653"/>
    <w:rsid w:val="003A626B"/>
    <w:rsid w:val="00402BDB"/>
    <w:rsid w:val="00450AE3"/>
    <w:rsid w:val="0045212A"/>
    <w:rsid w:val="004C4FE1"/>
    <w:rsid w:val="004E6C27"/>
    <w:rsid w:val="00501C04"/>
    <w:rsid w:val="00525E96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F0BC6"/>
    <w:rsid w:val="006F363C"/>
    <w:rsid w:val="0071143E"/>
    <w:rsid w:val="00725570"/>
    <w:rsid w:val="00725604"/>
    <w:rsid w:val="00726199"/>
    <w:rsid w:val="00734FF1"/>
    <w:rsid w:val="0074784D"/>
    <w:rsid w:val="007841E9"/>
    <w:rsid w:val="0078668E"/>
    <w:rsid w:val="0079094F"/>
    <w:rsid w:val="007A2211"/>
    <w:rsid w:val="008553E2"/>
    <w:rsid w:val="00857E2F"/>
    <w:rsid w:val="00877DBC"/>
    <w:rsid w:val="0088480F"/>
    <w:rsid w:val="008871BF"/>
    <w:rsid w:val="008D3A48"/>
    <w:rsid w:val="008D4B01"/>
    <w:rsid w:val="008D66A0"/>
    <w:rsid w:val="008E594D"/>
    <w:rsid w:val="008E6C98"/>
    <w:rsid w:val="009062F8"/>
    <w:rsid w:val="00913704"/>
    <w:rsid w:val="00913737"/>
    <w:rsid w:val="009A412C"/>
    <w:rsid w:val="009B4BB5"/>
    <w:rsid w:val="009E066D"/>
    <w:rsid w:val="00A10141"/>
    <w:rsid w:val="00A106FF"/>
    <w:rsid w:val="00A418B8"/>
    <w:rsid w:val="00A5418B"/>
    <w:rsid w:val="00A702DF"/>
    <w:rsid w:val="00AB4748"/>
    <w:rsid w:val="00AF2A2E"/>
    <w:rsid w:val="00B13019"/>
    <w:rsid w:val="00B25274"/>
    <w:rsid w:val="00B803B0"/>
    <w:rsid w:val="00BC2180"/>
    <w:rsid w:val="00C012A4"/>
    <w:rsid w:val="00C067B5"/>
    <w:rsid w:val="00C71F2D"/>
    <w:rsid w:val="00C7636C"/>
    <w:rsid w:val="00C93434"/>
    <w:rsid w:val="00CE78D7"/>
    <w:rsid w:val="00CF44BD"/>
    <w:rsid w:val="00D11996"/>
    <w:rsid w:val="00D17BDC"/>
    <w:rsid w:val="00D4386E"/>
    <w:rsid w:val="00D760D3"/>
    <w:rsid w:val="00D919DE"/>
    <w:rsid w:val="00DB75BD"/>
    <w:rsid w:val="00DC670F"/>
    <w:rsid w:val="00DD6065"/>
    <w:rsid w:val="00DF01FB"/>
    <w:rsid w:val="00E02C8F"/>
    <w:rsid w:val="00E03E06"/>
    <w:rsid w:val="00E620A3"/>
    <w:rsid w:val="00E72C4C"/>
    <w:rsid w:val="00E908F2"/>
    <w:rsid w:val="00EB460E"/>
    <w:rsid w:val="00ED4F60"/>
    <w:rsid w:val="00EE06DB"/>
    <w:rsid w:val="00EF7144"/>
    <w:rsid w:val="00EF75EF"/>
    <w:rsid w:val="00F13865"/>
    <w:rsid w:val="00F27FFA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EE06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06DB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y2iqfc">
    <w:name w:val="y2iqfc"/>
    <w:basedOn w:val="a0"/>
    <w:rsid w:val="00EE0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6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3535</Words>
  <Characters>2016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Ульвак Марина Вікторівна</cp:lastModifiedBy>
  <cp:revision>2</cp:revision>
  <cp:lastPrinted>2024-08-16T08:09:00Z</cp:lastPrinted>
  <dcterms:created xsi:type="dcterms:W3CDTF">2024-08-16T08:09:00Z</dcterms:created>
  <dcterms:modified xsi:type="dcterms:W3CDTF">2024-08-16T08:09:00Z</dcterms:modified>
</cp:coreProperties>
</file>