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9CE4" w14:textId="77777777" w:rsidR="00F13F4B" w:rsidRPr="003C3435" w:rsidRDefault="00F13F4B" w:rsidP="00A17646">
      <w:pPr>
        <w:pStyle w:val="ShapkaDocumentu"/>
        <w:tabs>
          <w:tab w:val="left" w:pos="284"/>
        </w:tabs>
        <w:snapToGrid w:val="0"/>
        <w:spacing w:after="1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3435">
        <w:rPr>
          <w:rFonts w:ascii="Times New Roman" w:hAnsi="Times New Roman"/>
          <w:sz w:val="28"/>
          <w:szCs w:val="28"/>
        </w:rPr>
        <w:t xml:space="preserve">ЗАТВЕРДЖЕНО </w:t>
      </w:r>
      <w:r w:rsidRPr="003C3435">
        <w:rPr>
          <w:rFonts w:ascii="Times New Roman" w:hAnsi="Times New Roman"/>
          <w:sz w:val="28"/>
          <w:szCs w:val="28"/>
        </w:rPr>
        <w:br/>
        <w:t xml:space="preserve">постановою Кабінету Міністрів України </w:t>
      </w:r>
      <w:r w:rsidRPr="003C3435">
        <w:rPr>
          <w:rFonts w:ascii="Times New Roman" w:hAnsi="Times New Roman"/>
          <w:sz w:val="28"/>
          <w:szCs w:val="28"/>
        </w:rPr>
        <w:br/>
        <w:t>від                        2024 р. №</w:t>
      </w:r>
    </w:p>
    <w:p w14:paraId="1D947E81" w14:textId="77777777" w:rsidR="008755D1" w:rsidRPr="003C3435" w:rsidRDefault="008755D1" w:rsidP="00A17646">
      <w:pPr>
        <w:shd w:val="clear" w:color="auto" w:fill="FFFFFF"/>
        <w:snapToGrid w:val="0"/>
        <w:spacing w:after="120"/>
        <w:ind w:right="-46" w:firstLine="567"/>
        <w:jc w:val="both"/>
        <w:rPr>
          <w:rFonts w:ascii="Times" w:eastAsia="Times New Roman" w:hAnsi="Times" w:cs="Times New Roman"/>
          <w:color w:val="000000"/>
          <w:sz w:val="28"/>
          <w:szCs w:val="28"/>
        </w:rPr>
      </w:pPr>
      <w:r w:rsidRPr="003C3435">
        <w:rPr>
          <w:rFonts w:ascii="Times" w:eastAsia="Times New Roman" w:hAnsi="Times" w:cs="Times New Roman"/>
          <w:b/>
          <w:bCs/>
          <w:color w:val="000000"/>
          <w:sz w:val="28"/>
          <w:szCs w:val="28"/>
        </w:rPr>
        <w:tab/>
      </w:r>
      <w:r w:rsidRPr="003C3435">
        <w:rPr>
          <w:rFonts w:ascii="Times" w:eastAsia="Times New Roman" w:hAnsi="Times" w:cs="Times New Roman"/>
          <w:b/>
          <w:bCs/>
          <w:color w:val="000000"/>
          <w:sz w:val="28"/>
          <w:szCs w:val="28"/>
        </w:rPr>
        <w:tab/>
      </w:r>
      <w:r w:rsidRPr="003C3435">
        <w:rPr>
          <w:rFonts w:ascii="Times" w:eastAsia="Times New Roman" w:hAnsi="Times" w:cs="Times New Roman"/>
          <w:b/>
          <w:bCs/>
          <w:color w:val="000000"/>
          <w:sz w:val="28"/>
          <w:szCs w:val="28"/>
        </w:rPr>
        <w:tab/>
      </w:r>
      <w:bookmarkStart w:id="1" w:name="n135"/>
      <w:bookmarkEnd w:id="1"/>
    </w:p>
    <w:p w14:paraId="1635F2C0" w14:textId="77777777" w:rsidR="00A80187" w:rsidRPr="003C3435" w:rsidRDefault="00A80187" w:rsidP="00A17646">
      <w:pPr>
        <w:shd w:val="clear" w:color="auto" w:fill="FFFFFF"/>
        <w:snapToGrid w:val="0"/>
        <w:spacing w:after="120"/>
        <w:ind w:right="-46"/>
        <w:jc w:val="center"/>
        <w:rPr>
          <w:rFonts w:ascii="Times New Roman" w:hAnsi="Times New Roman" w:cs="Times New Roman"/>
          <w:b/>
          <w:bCs/>
          <w:sz w:val="28"/>
        </w:rPr>
      </w:pPr>
      <w:r w:rsidRPr="003C3435">
        <w:rPr>
          <w:rFonts w:ascii="Times New Roman" w:hAnsi="Times New Roman" w:cs="Times New Roman"/>
          <w:b/>
          <w:bCs/>
          <w:sz w:val="28"/>
        </w:rPr>
        <w:t>ВИМОГИ</w:t>
      </w:r>
    </w:p>
    <w:p w14:paraId="2EAE7A61" w14:textId="77777777" w:rsidR="00A80187" w:rsidRPr="003C3435" w:rsidRDefault="00A80187" w:rsidP="00A17646">
      <w:pPr>
        <w:shd w:val="clear" w:color="auto" w:fill="FFFFFF"/>
        <w:snapToGrid w:val="0"/>
        <w:spacing w:after="120"/>
        <w:ind w:right="-46"/>
        <w:jc w:val="center"/>
        <w:rPr>
          <w:rFonts w:ascii="Times" w:eastAsia="Times New Roman" w:hAnsi="Times" w:cs="Times New Roman"/>
          <w:b/>
          <w:bCs/>
          <w:color w:val="000000"/>
          <w:sz w:val="28"/>
          <w:szCs w:val="28"/>
        </w:rPr>
      </w:pPr>
      <w:r w:rsidRPr="003C3435">
        <w:rPr>
          <w:rFonts w:ascii="Times New Roman" w:hAnsi="Times New Roman" w:cs="Times New Roman"/>
          <w:b/>
          <w:bCs/>
          <w:sz w:val="28"/>
        </w:rPr>
        <w:t>до змісту висновків щодо видачі інтегрованого довкіллєвого дозволу (внесення змін до нього)</w:t>
      </w:r>
    </w:p>
    <w:p w14:paraId="7699B1C7" w14:textId="77777777" w:rsidR="00A80187" w:rsidRPr="003C3435" w:rsidRDefault="00A80187" w:rsidP="00A17646">
      <w:pPr>
        <w:shd w:val="clear" w:color="auto" w:fill="FFFFFF"/>
        <w:snapToGrid w:val="0"/>
        <w:spacing w:after="120"/>
        <w:ind w:right="-46" w:firstLine="567"/>
        <w:jc w:val="right"/>
        <w:rPr>
          <w:rFonts w:ascii="Times" w:eastAsia="Times New Roman" w:hAnsi="Times" w:cs="Times New Roman"/>
          <w:b/>
          <w:bCs/>
          <w:color w:val="000000"/>
          <w:sz w:val="28"/>
          <w:szCs w:val="28"/>
        </w:rPr>
      </w:pPr>
    </w:p>
    <w:p w14:paraId="20932FC2" w14:textId="7BEC6981" w:rsidR="00EF2DD3" w:rsidRDefault="0034180D" w:rsidP="00D17DDF">
      <w:pPr>
        <w:pStyle w:val="a3"/>
        <w:shd w:val="clear" w:color="auto" w:fill="FFFFFF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C671CD">
        <w:rPr>
          <w:rFonts w:ascii="Times New Roman" w:hAnsi="Times New Roman" w:cs="Times New Roman"/>
          <w:sz w:val="28"/>
        </w:rPr>
        <w:t>. </w:t>
      </w:r>
      <w:r w:rsidR="00A80187" w:rsidRPr="00C671CD">
        <w:rPr>
          <w:rFonts w:ascii="Times New Roman" w:hAnsi="Times New Roman" w:cs="Times New Roman"/>
          <w:sz w:val="28"/>
        </w:rPr>
        <w:t xml:space="preserve">Ці </w:t>
      </w:r>
      <w:r w:rsidR="00C671CD">
        <w:rPr>
          <w:rFonts w:ascii="Times New Roman" w:hAnsi="Times New Roman" w:cs="Times New Roman"/>
          <w:sz w:val="28"/>
        </w:rPr>
        <w:t>В</w:t>
      </w:r>
      <w:r w:rsidR="00A80187" w:rsidRPr="00C671CD">
        <w:rPr>
          <w:rFonts w:ascii="Times New Roman" w:hAnsi="Times New Roman" w:cs="Times New Roman"/>
          <w:sz w:val="28"/>
        </w:rPr>
        <w:t xml:space="preserve">имоги визначають зміст висновків щодо видачі інтегрованого </w:t>
      </w:r>
      <w:proofErr w:type="spellStart"/>
      <w:r w:rsidR="00A80187" w:rsidRPr="00C671CD">
        <w:rPr>
          <w:rFonts w:ascii="Times New Roman" w:hAnsi="Times New Roman" w:cs="Times New Roman"/>
          <w:sz w:val="28"/>
        </w:rPr>
        <w:t>довкіллєвого</w:t>
      </w:r>
      <w:proofErr w:type="spellEnd"/>
      <w:r w:rsidR="00A80187" w:rsidRPr="00C671CD">
        <w:rPr>
          <w:rFonts w:ascii="Times New Roman" w:hAnsi="Times New Roman" w:cs="Times New Roman"/>
          <w:sz w:val="28"/>
        </w:rPr>
        <w:t xml:space="preserve"> дозволу (внесення змін до нього)</w:t>
      </w:r>
      <w:r w:rsidR="00C9045D" w:rsidRPr="00C671CD">
        <w:rPr>
          <w:rFonts w:ascii="Times New Roman" w:hAnsi="Times New Roman" w:cs="Times New Roman"/>
          <w:sz w:val="28"/>
        </w:rPr>
        <w:t xml:space="preserve"> (далі – висновки)</w:t>
      </w:r>
      <w:r w:rsidR="00A80187" w:rsidRPr="00C671CD">
        <w:rPr>
          <w:rFonts w:ascii="Times New Roman" w:hAnsi="Times New Roman" w:cs="Times New Roman"/>
          <w:sz w:val="28"/>
        </w:rPr>
        <w:t xml:space="preserve">, які надаються компетентними органами у процесі видачі інтегрованого </w:t>
      </w:r>
      <w:proofErr w:type="spellStart"/>
      <w:r w:rsidR="00A80187" w:rsidRPr="00C671CD">
        <w:rPr>
          <w:rFonts w:ascii="Times New Roman" w:hAnsi="Times New Roman" w:cs="Times New Roman"/>
          <w:sz w:val="28"/>
        </w:rPr>
        <w:t>довкіллєвого</w:t>
      </w:r>
      <w:proofErr w:type="spellEnd"/>
      <w:r w:rsidR="00A80187" w:rsidRPr="00C671CD">
        <w:rPr>
          <w:rFonts w:ascii="Times New Roman" w:hAnsi="Times New Roman" w:cs="Times New Roman"/>
          <w:sz w:val="28"/>
        </w:rPr>
        <w:t xml:space="preserve"> дозволу (внесення змін до нього) </w:t>
      </w:r>
      <w:proofErr w:type="spellStart"/>
      <w:r w:rsidR="00420170" w:rsidRPr="00C671CD">
        <w:rPr>
          <w:rFonts w:ascii="Times New Roman" w:hAnsi="Times New Roman" w:cs="Times New Roman"/>
          <w:sz w:val="28"/>
        </w:rPr>
        <w:t>Міндовкілля</w:t>
      </w:r>
      <w:proofErr w:type="spellEnd"/>
      <w:r w:rsidR="00420170">
        <w:rPr>
          <w:rFonts w:ascii="Times New Roman" w:hAnsi="Times New Roman" w:cs="Times New Roman"/>
          <w:sz w:val="28"/>
        </w:rPr>
        <w:t xml:space="preserve"> </w:t>
      </w:r>
      <w:r w:rsidR="00A80187" w:rsidRPr="003C3435">
        <w:rPr>
          <w:rFonts w:ascii="Times New Roman" w:hAnsi="Times New Roman" w:cs="Times New Roman"/>
          <w:sz w:val="28"/>
        </w:rPr>
        <w:t>відповідно до статті 7 Закону України «Про</w:t>
      </w:r>
      <w:r w:rsidR="00A17646" w:rsidRPr="003C3435">
        <w:rPr>
          <w:rFonts w:ascii="Times New Roman" w:hAnsi="Times New Roman" w:cs="Times New Roman"/>
          <w:sz w:val="28"/>
        </w:rPr>
        <w:t xml:space="preserve"> інтегроване запобігання та контроль промислового забруднення</w:t>
      </w:r>
      <w:r w:rsidR="00A80187" w:rsidRPr="003C3435">
        <w:rPr>
          <w:rFonts w:ascii="Times New Roman" w:hAnsi="Times New Roman" w:cs="Times New Roman"/>
          <w:sz w:val="28"/>
        </w:rPr>
        <w:t xml:space="preserve">» </w:t>
      </w:r>
      <w:r w:rsidR="00466633">
        <w:rPr>
          <w:rFonts w:ascii="Times New Roman" w:hAnsi="Times New Roman" w:cs="Times New Roman"/>
          <w:sz w:val="28"/>
        </w:rPr>
        <w:br/>
      </w:r>
      <w:r w:rsidR="00A80187" w:rsidRPr="003C3435">
        <w:rPr>
          <w:rFonts w:ascii="Times New Roman" w:hAnsi="Times New Roman" w:cs="Times New Roman"/>
          <w:sz w:val="28"/>
        </w:rPr>
        <w:t>(далі – Закон).</w:t>
      </w:r>
    </w:p>
    <w:p w14:paraId="7E40D17F" w14:textId="77777777" w:rsidR="003E3A28" w:rsidRPr="003C3435" w:rsidRDefault="003E3A28" w:rsidP="00D17DDF">
      <w:pPr>
        <w:pStyle w:val="a3"/>
        <w:shd w:val="clear" w:color="auto" w:fill="FFFFFF"/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339AF976" w14:textId="50243CE1" w:rsidR="00363E2D" w:rsidRDefault="00C671CD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8755D1" w:rsidRPr="003C3435">
        <w:rPr>
          <w:rFonts w:ascii="Times New Roman" w:hAnsi="Times New Roman" w:cs="Times New Roman"/>
          <w:color w:val="000000"/>
          <w:sz w:val="28"/>
          <w:szCs w:val="28"/>
        </w:rPr>
        <w:t>Терміни, які використовуються у ц</w:t>
      </w:r>
      <w:r w:rsidR="00AA4855" w:rsidRPr="003C343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755D1" w:rsidRPr="003C3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855" w:rsidRPr="003C3435">
        <w:rPr>
          <w:rFonts w:ascii="Times New Roman" w:hAnsi="Times New Roman" w:cs="Times New Roman"/>
          <w:color w:val="000000"/>
          <w:sz w:val="28"/>
          <w:szCs w:val="28"/>
        </w:rPr>
        <w:t>Вимогах</w:t>
      </w:r>
      <w:r w:rsidR="008755D1" w:rsidRPr="003C3435">
        <w:rPr>
          <w:rFonts w:ascii="Times New Roman" w:hAnsi="Times New Roman" w:cs="Times New Roman"/>
          <w:color w:val="000000"/>
          <w:sz w:val="28"/>
          <w:szCs w:val="28"/>
        </w:rPr>
        <w:t>, вживаються у значенні, наведеному в Законі.</w:t>
      </w:r>
      <w:r w:rsidR="00363E2D" w:rsidRPr="003C3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1F6A1" w14:textId="77777777" w:rsidR="003E3A28" w:rsidRPr="003C3435" w:rsidRDefault="003E3A28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986C21" w14:textId="77777777" w:rsidR="002179D6" w:rsidRDefault="00250235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671CD">
        <w:rPr>
          <w:rFonts w:ascii="Times New Roman" w:hAnsi="Times New Roman" w:cs="Times New Roman"/>
          <w:sz w:val="28"/>
        </w:rPr>
        <w:t>. </w:t>
      </w:r>
      <w:r w:rsidR="008755D1" w:rsidRPr="003C3435">
        <w:rPr>
          <w:rFonts w:ascii="Times New Roman" w:hAnsi="Times New Roman" w:cs="Times New Roman"/>
          <w:sz w:val="28"/>
        </w:rPr>
        <w:t xml:space="preserve">Висновки </w:t>
      </w:r>
      <w:r w:rsidR="00D26718" w:rsidRPr="003C3435">
        <w:rPr>
          <w:rFonts w:ascii="Times New Roman" w:hAnsi="Times New Roman" w:cs="Times New Roman"/>
          <w:sz w:val="28"/>
        </w:rPr>
        <w:t xml:space="preserve">повинні бути обґрунтованими та </w:t>
      </w:r>
      <w:r w:rsidR="008755D1" w:rsidRPr="003C3435">
        <w:rPr>
          <w:rFonts w:ascii="Times New Roman" w:hAnsi="Times New Roman" w:cs="Times New Roman"/>
          <w:sz w:val="28"/>
        </w:rPr>
        <w:t>міст</w:t>
      </w:r>
      <w:r w:rsidR="00D26718" w:rsidRPr="003C3435">
        <w:rPr>
          <w:rFonts w:ascii="Times New Roman" w:hAnsi="Times New Roman" w:cs="Times New Roman"/>
          <w:sz w:val="28"/>
        </w:rPr>
        <w:t>ити</w:t>
      </w:r>
      <w:r w:rsidR="008755D1" w:rsidRPr="003C3435">
        <w:rPr>
          <w:rFonts w:ascii="Times New Roman" w:hAnsi="Times New Roman" w:cs="Times New Roman"/>
          <w:sz w:val="28"/>
        </w:rPr>
        <w:t xml:space="preserve"> </w:t>
      </w:r>
      <w:r w:rsidR="00F91EB1" w:rsidRPr="003C3435">
        <w:rPr>
          <w:rFonts w:ascii="Times New Roman" w:hAnsi="Times New Roman" w:cs="Times New Roman"/>
          <w:sz w:val="28"/>
        </w:rPr>
        <w:t>позицію</w:t>
      </w:r>
      <w:r w:rsidR="008755D1" w:rsidRPr="003C3435">
        <w:rPr>
          <w:rFonts w:ascii="Times New Roman" w:hAnsi="Times New Roman" w:cs="Times New Roman"/>
          <w:sz w:val="28"/>
        </w:rPr>
        <w:t xml:space="preserve"> </w:t>
      </w:r>
      <w:r w:rsidR="00F91EB1" w:rsidRPr="003C3435">
        <w:rPr>
          <w:rFonts w:ascii="Times New Roman" w:hAnsi="Times New Roman" w:cs="Times New Roman"/>
          <w:sz w:val="28"/>
        </w:rPr>
        <w:t xml:space="preserve">компетентного органу </w:t>
      </w:r>
      <w:r w:rsidR="008755D1" w:rsidRPr="003C3435">
        <w:rPr>
          <w:rFonts w:ascii="Times New Roman" w:hAnsi="Times New Roman" w:cs="Times New Roman"/>
          <w:sz w:val="28"/>
        </w:rPr>
        <w:t>щодо видачі інтегрованого довкіллєвого дозволу (внесення змін до нього)</w:t>
      </w:r>
      <w:r w:rsidR="00F91EB1" w:rsidRPr="003C3435">
        <w:rPr>
          <w:rFonts w:ascii="Times New Roman" w:hAnsi="Times New Roman" w:cs="Times New Roman"/>
          <w:sz w:val="28"/>
        </w:rPr>
        <w:t xml:space="preserve">, </w:t>
      </w:r>
      <w:r w:rsidR="008755D1" w:rsidRPr="003C3435">
        <w:rPr>
          <w:rFonts w:ascii="Times New Roman" w:hAnsi="Times New Roman" w:cs="Times New Roman"/>
          <w:sz w:val="28"/>
        </w:rPr>
        <w:t>пропозиції до умов інтегрованого довкіллєвого дозволу та пропозиції щодо врахування</w:t>
      </w:r>
      <w:r w:rsidR="006A1F95" w:rsidRPr="003C3435">
        <w:rPr>
          <w:rFonts w:ascii="Times New Roman" w:hAnsi="Times New Roman" w:cs="Times New Roman"/>
          <w:sz w:val="28"/>
        </w:rPr>
        <w:t>, часткового врахування або обґрунтованого відхилення</w:t>
      </w:r>
      <w:r w:rsidR="004A321B" w:rsidRPr="003C3435">
        <w:rPr>
          <w:rFonts w:ascii="Times New Roman" w:hAnsi="Times New Roman" w:cs="Times New Roman"/>
          <w:sz w:val="28"/>
        </w:rPr>
        <w:t xml:space="preserve"> </w:t>
      </w:r>
      <w:r w:rsidR="008755D1" w:rsidRPr="003C3435">
        <w:rPr>
          <w:rFonts w:ascii="Times New Roman" w:hAnsi="Times New Roman" w:cs="Times New Roman"/>
          <w:sz w:val="28"/>
        </w:rPr>
        <w:t>зауважень і пропозицій громадськості</w:t>
      </w:r>
      <w:r w:rsidR="00EA5C10" w:rsidRPr="003C3435">
        <w:rPr>
          <w:rFonts w:ascii="Times New Roman" w:hAnsi="Times New Roman" w:cs="Times New Roman"/>
          <w:sz w:val="28"/>
        </w:rPr>
        <w:t>.</w:t>
      </w:r>
    </w:p>
    <w:p w14:paraId="3CEF4958" w14:textId="77777777" w:rsidR="003E3A28" w:rsidRDefault="003E3A28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64525F96" w14:textId="481F214A" w:rsidR="00EA5C10" w:rsidRDefault="002179D6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Pr="002179D6">
        <w:rPr>
          <w:rFonts w:ascii="Times New Roman" w:hAnsi="Times New Roman" w:cs="Times New Roman"/>
          <w:sz w:val="28"/>
        </w:rPr>
        <w:t xml:space="preserve">Висновки складаються </w:t>
      </w:r>
      <w:r>
        <w:rPr>
          <w:rFonts w:ascii="Times New Roman" w:hAnsi="Times New Roman" w:cs="Times New Roman"/>
          <w:sz w:val="28"/>
        </w:rPr>
        <w:t xml:space="preserve">компетентними органами </w:t>
      </w:r>
      <w:r w:rsidRPr="002179D6">
        <w:rPr>
          <w:rFonts w:ascii="Times New Roman" w:hAnsi="Times New Roman" w:cs="Times New Roman"/>
          <w:sz w:val="28"/>
        </w:rPr>
        <w:t>за формою, яка затверджена цією постановою.</w:t>
      </w:r>
      <w:r w:rsidR="00EA5C10" w:rsidRPr="003C3435">
        <w:rPr>
          <w:rFonts w:ascii="Times New Roman" w:hAnsi="Times New Roman" w:cs="Times New Roman"/>
          <w:sz w:val="28"/>
        </w:rPr>
        <w:t xml:space="preserve"> </w:t>
      </w:r>
    </w:p>
    <w:p w14:paraId="42DD7A0E" w14:textId="77777777" w:rsidR="003E3A28" w:rsidRPr="003C3435" w:rsidRDefault="003E3A28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" w:eastAsia="Times New Roman" w:hAnsi="Times" w:cs="Times New Roman"/>
          <w:b/>
          <w:bCs/>
          <w:color w:val="000000"/>
          <w:sz w:val="28"/>
          <w:szCs w:val="28"/>
        </w:rPr>
      </w:pPr>
    </w:p>
    <w:p w14:paraId="3CC4CB2B" w14:textId="77E33244" w:rsidR="005A5153" w:rsidRPr="005A5153" w:rsidRDefault="002179D6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D577A3" w:rsidRPr="002C4A68">
        <w:rPr>
          <w:rFonts w:ascii="Times New Roman" w:hAnsi="Times New Roman" w:cs="Times New Roman"/>
          <w:color w:val="000000" w:themeColor="text1"/>
          <w:sz w:val="28"/>
        </w:rPr>
        <w:t>. </w:t>
      </w:r>
      <w:r w:rsidR="005A5153" w:rsidRPr="002C4A68">
        <w:rPr>
          <w:rFonts w:ascii="Times New Roman" w:hAnsi="Times New Roman" w:cs="Times New Roman"/>
          <w:color w:val="000000" w:themeColor="text1"/>
          <w:sz w:val="28"/>
        </w:rPr>
        <w:t xml:space="preserve">У висновках компетентні органи в межах своєї компетенції надають </w:t>
      </w:r>
      <w:proofErr w:type="spellStart"/>
      <w:r w:rsidR="005A5153" w:rsidRPr="002C4A68">
        <w:rPr>
          <w:rFonts w:ascii="Times New Roman" w:hAnsi="Times New Roman" w:cs="Times New Roman"/>
          <w:color w:val="000000" w:themeColor="text1"/>
          <w:sz w:val="28"/>
        </w:rPr>
        <w:t>Міндовкілля</w:t>
      </w:r>
      <w:proofErr w:type="spellEnd"/>
      <w:r w:rsidR="005A5153" w:rsidRPr="002C4A68">
        <w:rPr>
          <w:rFonts w:ascii="Times New Roman" w:hAnsi="Times New Roman" w:cs="Times New Roman"/>
          <w:color w:val="000000" w:themeColor="text1"/>
          <w:sz w:val="28"/>
        </w:rPr>
        <w:t xml:space="preserve"> позиції щодо видачі інтегрованого </w:t>
      </w:r>
      <w:proofErr w:type="spellStart"/>
      <w:r w:rsidR="005A5153" w:rsidRPr="002C4A68">
        <w:rPr>
          <w:rFonts w:ascii="Times New Roman" w:hAnsi="Times New Roman" w:cs="Times New Roman"/>
          <w:color w:val="000000" w:themeColor="text1"/>
          <w:sz w:val="28"/>
        </w:rPr>
        <w:t>довкіллєвого</w:t>
      </w:r>
      <w:proofErr w:type="spellEnd"/>
      <w:r w:rsidR="005A5153" w:rsidRPr="002C4A68">
        <w:rPr>
          <w:rFonts w:ascii="Times New Roman" w:hAnsi="Times New Roman" w:cs="Times New Roman"/>
          <w:color w:val="000000" w:themeColor="text1"/>
          <w:sz w:val="28"/>
        </w:rPr>
        <w:t xml:space="preserve"> дозволу (внесення змін до нього) з урахуванням:</w:t>
      </w:r>
    </w:p>
    <w:p w14:paraId="2C7C3EC3" w14:textId="1694DA89" w:rsidR="000805EE" w:rsidRPr="007E70E0" w:rsidRDefault="000805EE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color w:val="000000" w:themeColor="text1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t>1) повнот</w:t>
      </w:r>
      <w:r w:rsidR="007E70E0">
        <w:rPr>
          <w:rFonts w:ascii="Times New Roman" w:hAnsi="Times New Roman" w:cs="Times New Roman"/>
          <w:color w:val="000000" w:themeColor="text1"/>
          <w:sz w:val="28"/>
        </w:rPr>
        <w:t>и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 пакет</w:t>
      </w:r>
      <w:r w:rsidR="007E70E0">
        <w:rPr>
          <w:rFonts w:ascii="Times New Roman" w:hAnsi="Times New Roman" w:cs="Times New Roman"/>
          <w:color w:val="000000" w:themeColor="text1"/>
          <w:sz w:val="28"/>
        </w:rPr>
        <w:t>у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 документів, </w:t>
      </w:r>
      <w:r w:rsidR="00285689" w:rsidRPr="007E70E0">
        <w:rPr>
          <w:rFonts w:ascii="Times New Roman" w:hAnsi="Times New Roman" w:cs="Times New Roman"/>
          <w:color w:val="000000" w:themeColor="text1"/>
          <w:sz w:val="28"/>
        </w:rPr>
        <w:t xml:space="preserve">необхідних для отримання інтегрованого довкіллєвого дозволу (внесення змін до нього), 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пода</w:t>
      </w:r>
      <w:r w:rsidR="00712763" w:rsidRPr="007E70E0">
        <w:rPr>
          <w:rFonts w:ascii="Times New Roman" w:hAnsi="Times New Roman" w:cs="Times New Roman"/>
          <w:color w:val="000000" w:themeColor="text1"/>
          <w:sz w:val="28"/>
        </w:rPr>
        <w:t>ного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 оператором установки;</w:t>
      </w:r>
    </w:p>
    <w:p w14:paraId="358086C6" w14:textId="4B323216" w:rsidR="000805EE" w:rsidRPr="007E70E0" w:rsidRDefault="000805EE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color w:val="000000" w:themeColor="text1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2) </w:t>
      </w:r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 xml:space="preserve">відповідності заяви про отримання інтегрованого </w:t>
      </w:r>
      <w:proofErr w:type="spellStart"/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>довкіллєвого</w:t>
      </w:r>
      <w:proofErr w:type="spellEnd"/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 xml:space="preserve"> дозволу (внесення змін до нього) та доданих до неї документів, поданих оператором установки, вимогам до форми і змісту заяви про отримання інтегрованого </w:t>
      </w:r>
      <w:proofErr w:type="spellStart"/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>довкіллєвого</w:t>
      </w:r>
      <w:proofErr w:type="spellEnd"/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 xml:space="preserve"> дозволу (внесе</w:t>
      </w:r>
      <w:r w:rsidR="00D2067D">
        <w:rPr>
          <w:rFonts w:ascii="Times New Roman" w:hAnsi="Times New Roman" w:cs="Times New Roman"/>
          <w:color w:val="000000" w:themeColor="text1"/>
          <w:sz w:val="28"/>
        </w:rPr>
        <w:t>ння змін до нього), затверджених</w:t>
      </w:r>
      <w:r w:rsidR="00D2067D" w:rsidRPr="00D2067D">
        <w:rPr>
          <w:rFonts w:ascii="Times New Roman" w:hAnsi="Times New Roman" w:cs="Times New Roman"/>
          <w:color w:val="000000" w:themeColor="text1"/>
          <w:sz w:val="28"/>
        </w:rPr>
        <w:t xml:space="preserve"> Кабінетом Міністрів України;</w:t>
      </w:r>
    </w:p>
    <w:p w14:paraId="249A07A0" w14:textId="5227D0F5" w:rsidR="000805EE" w:rsidRPr="007E70E0" w:rsidRDefault="000805EE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color w:val="000000" w:themeColor="text1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3) </w:t>
      </w:r>
      <w:r w:rsidR="00047297">
        <w:rPr>
          <w:rFonts w:ascii="Times New Roman" w:hAnsi="Times New Roman" w:cs="Times New Roman"/>
          <w:color w:val="000000" w:themeColor="text1"/>
          <w:sz w:val="28"/>
        </w:rPr>
        <w:t>наявності</w:t>
      </w:r>
      <w:r w:rsidR="0091285C" w:rsidRPr="007E70E0">
        <w:rPr>
          <w:rFonts w:ascii="Times New Roman" w:hAnsi="Times New Roman" w:cs="Times New Roman"/>
          <w:color w:val="000000" w:themeColor="text1"/>
          <w:sz w:val="28"/>
        </w:rPr>
        <w:t xml:space="preserve"> не</w:t>
      </w:r>
      <w:r w:rsidR="000B06E5" w:rsidRPr="007E70E0">
        <w:rPr>
          <w:rFonts w:ascii="Times New Roman" w:hAnsi="Times New Roman" w:cs="Times New Roman"/>
          <w:color w:val="000000" w:themeColor="text1"/>
          <w:sz w:val="28"/>
        </w:rPr>
        <w:t>достовірн</w:t>
      </w:r>
      <w:r w:rsidR="00F91EB1" w:rsidRPr="007E70E0">
        <w:rPr>
          <w:rFonts w:ascii="Times New Roman" w:hAnsi="Times New Roman" w:cs="Times New Roman"/>
          <w:color w:val="000000" w:themeColor="text1"/>
          <w:sz w:val="28"/>
        </w:rPr>
        <w:t>о</w:t>
      </w:r>
      <w:r w:rsidR="0091285C" w:rsidRPr="007E70E0">
        <w:rPr>
          <w:rFonts w:ascii="Times New Roman" w:hAnsi="Times New Roman" w:cs="Times New Roman"/>
          <w:color w:val="000000" w:themeColor="text1"/>
          <w:sz w:val="28"/>
        </w:rPr>
        <w:t>ї</w:t>
      </w:r>
      <w:r w:rsidR="000B06E5" w:rsidRPr="007E70E0">
        <w:rPr>
          <w:rFonts w:ascii="Times New Roman" w:hAnsi="Times New Roman" w:cs="Times New Roman"/>
          <w:color w:val="000000" w:themeColor="text1"/>
          <w:sz w:val="28"/>
        </w:rPr>
        <w:t xml:space="preserve"> інформації</w:t>
      </w:r>
      <w:r w:rsidR="0091285C" w:rsidRPr="007E70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у заяві про отримання інтегрованого довкіллєвого дозволу (внесення змін до нього) та доданих до неї документах</w:t>
      </w:r>
      <w:r w:rsidR="0091285C" w:rsidRPr="007E70E0">
        <w:rPr>
          <w:rFonts w:ascii="Times New Roman" w:hAnsi="Times New Roman" w:cs="Times New Roman"/>
          <w:color w:val="000000" w:themeColor="text1"/>
          <w:sz w:val="28"/>
        </w:rPr>
        <w:t>, поданих оператором установ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688B8D0" w14:textId="6D95BEAC" w:rsidR="000805EE" w:rsidRPr="007E70E0" w:rsidRDefault="000B06E5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t>4</w:t>
      </w:r>
      <w:r w:rsidR="000805EE" w:rsidRPr="007E70E0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відповідн</w:t>
      </w:r>
      <w:r w:rsidR="00F91EB1" w:rsidRPr="007E70E0">
        <w:rPr>
          <w:rFonts w:ascii="Times New Roman" w:hAnsi="Times New Roman" w:cs="Times New Roman"/>
          <w:color w:val="000000" w:themeColor="text1"/>
          <w:sz w:val="28"/>
        </w:rPr>
        <w:t>ості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05EE" w:rsidRPr="007E70E0">
        <w:rPr>
          <w:rFonts w:ascii="Times New Roman" w:hAnsi="Times New Roman" w:cs="Times New Roman"/>
          <w:color w:val="000000" w:themeColor="text1"/>
          <w:sz w:val="28"/>
        </w:rPr>
        <w:t>експлуатаці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ї</w:t>
      </w:r>
      <w:r w:rsidR="000805EE" w:rsidRPr="007E70E0">
        <w:rPr>
          <w:rFonts w:ascii="Times New Roman" w:hAnsi="Times New Roman" w:cs="Times New Roman"/>
          <w:color w:val="000000" w:themeColor="text1"/>
          <w:sz w:val="28"/>
        </w:rPr>
        <w:t xml:space="preserve"> установки вимогам Закону</w:t>
      </w:r>
      <w:r w:rsidR="00A75FCE" w:rsidRPr="007E70E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DE7C621" w14:textId="53280277" w:rsidR="007235A3" w:rsidRPr="007E70E0" w:rsidRDefault="007235A3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lastRenderedPageBreak/>
        <w:t>5) можлив</w:t>
      </w:r>
      <w:r w:rsidR="00F91EB1" w:rsidRPr="007E70E0">
        <w:rPr>
          <w:rFonts w:ascii="Times New Roman" w:hAnsi="Times New Roman" w:cs="Times New Roman"/>
          <w:color w:val="000000" w:themeColor="text1"/>
          <w:sz w:val="28"/>
        </w:rPr>
        <w:t xml:space="preserve">ості </w:t>
      </w:r>
      <w:r w:rsidRPr="007E70E0">
        <w:rPr>
          <w:rFonts w:ascii="Times New Roman" w:hAnsi="Times New Roman" w:cs="Times New Roman"/>
          <w:color w:val="000000" w:themeColor="text1"/>
          <w:sz w:val="28"/>
        </w:rPr>
        <w:t>надання відступу</w:t>
      </w:r>
      <w:r w:rsidR="00854E09" w:rsidRPr="007E70E0">
        <w:rPr>
          <w:rFonts w:ascii="Times New Roman" w:hAnsi="Times New Roman" w:cs="Times New Roman"/>
          <w:color w:val="000000" w:themeColor="text1"/>
          <w:sz w:val="28"/>
        </w:rPr>
        <w:t xml:space="preserve"> (в разі подання оцінки відступу);</w:t>
      </w:r>
    </w:p>
    <w:p w14:paraId="687EE373" w14:textId="3762ADAD" w:rsidR="00A75FCE" w:rsidRDefault="006E69E0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E70E0">
        <w:rPr>
          <w:rFonts w:ascii="Times New Roman" w:hAnsi="Times New Roman" w:cs="Times New Roman"/>
          <w:color w:val="000000" w:themeColor="text1"/>
          <w:sz w:val="28"/>
        </w:rPr>
        <w:t>6</w:t>
      </w:r>
      <w:r w:rsidR="00A75FCE" w:rsidRPr="007E70E0">
        <w:rPr>
          <w:rFonts w:ascii="Times New Roman" w:hAnsi="Times New Roman" w:cs="Times New Roman"/>
          <w:color w:val="000000" w:themeColor="text1"/>
          <w:sz w:val="28"/>
        </w:rPr>
        <w:t>) інш</w:t>
      </w:r>
      <w:r w:rsidR="00F91EB1" w:rsidRPr="007E70E0">
        <w:rPr>
          <w:rFonts w:ascii="Times New Roman" w:hAnsi="Times New Roman" w:cs="Times New Roman"/>
          <w:color w:val="000000" w:themeColor="text1"/>
          <w:sz w:val="28"/>
        </w:rPr>
        <w:t>их</w:t>
      </w:r>
      <w:r w:rsidR="00A75FCE" w:rsidRPr="007E70E0">
        <w:rPr>
          <w:rFonts w:ascii="Times New Roman" w:hAnsi="Times New Roman" w:cs="Times New Roman"/>
          <w:color w:val="000000" w:themeColor="text1"/>
          <w:sz w:val="28"/>
        </w:rPr>
        <w:t xml:space="preserve"> обставин</w:t>
      </w:r>
      <w:r w:rsidR="00712763" w:rsidRPr="007E70E0">
        <w:rPr>
          <w:rFonts w:ascii="Times New Roman" w:hAnsi="Times New Roman" w:cs="Times New Roman"/>
          <w:color w:val="000000" w:themeColor="text1"/>
          <w:sz w:val="28"/>
        </w:rPr>
        <w:t>,</w:t>
      </w:r>
      <w:r w:rsidR="00A75FCE" w:rsidRPr="007E70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A5084" w:rsidRPr="007E70E0">
        <w:rPr>
          <w:rFonts w:ascii="Times New Roman" w:hAnsi="Times New Roman" w:cs="Times New Roman"/>
          <w:color w:val="000000" w:themeColor="text1"/>
          <w:sz w:val="28"/>
        </w:rPr>
        <w:t xml:space="preserve">з якими </w:t>
      </w:r>
      <w:r w:rsidR="00A75FCE" w:rsidRPr="007E70E0">
        <w:rPr>
          <w:rFonts w:ascii="Times New Roman" w:hAnsi="Times New Roman" w:cs="Times New Roman"/>
          <w:color w:val="000000" w:themeColor="text1"/>
          <w:sz w:val="28"/>
        </w:rPr>
        <w:t xml:space="preserve">компетентний орган пов’язує </w:t>
      </w:r>
      <w:r w:rsidR="00CA5084" w:rsidRPr="007E70E0">
        <w:rPr>
          <w:rFonts w:ascii="Times New Roman" w:hAnsi="Times New Roman" w:cs="Times New Roman"/>
          <w:color w:val="000000" w:themeColor="text1"/>
          <w:sz w:val="28"/>
        </w:rPr>
        <w:t>наявність підстав для прийняття рішення про відмову у видачі інтегрованого довкіллєвого дозволу (внесенні змін до нього)</w:t>
      </w:r>
      <w:r w:rsidR="002971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9713F" w:rsidRPr="002C4A68">
        <w:rPr>
          <w:rFonts w:ascii="Times New Roman" w:hAnsi="Times New Roman" w:cs="Times New Roman"/>
          <w:color w:val="000000" w:themeColor="text1"/>
          <w:sz w:val="28"/>
        </w:rPr>
        <w:t>визначених статтею 14 Закону</w:t>
      </w:r>
      <w:r w:rsidR="00CA5084" w:rsidRPr="002C4A68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432C752" w14:textId="77777777" w:rsidR="009F00A5" w:rsidRPr="008C2EE3" w:rsidRDefault="009F00A5" w:rsidP="00D17DDF">
      <w:pPr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14:paraId="25A4C596" w14:textId="0CDAA11F" w:rsidR="00976795" w:rsidRDefault="002179D6" w:rsidP="00D17DDF">
      <w:pPr>
        <w:pStyle w:val="a3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671CD" w:rsidRPr="00C671CD">
        <w:rPr>
          <w:rFonts w:ascii="Times New Roman" w:hAnsi="Times New Roman" w:cs="Times New Roman"/>
          <w:sz w:val="28"/>
        </w:rPr>
        <w:t>. </w:t>
      </w:r>
      <w:r w:rsidR="00976795" w:rsidRPr="00C671CD">
        <w:rPr>
          <w:rFonts w:ascii="Times New Roman" w:hAnsi="Times New Roman" w:cs="Times New Roman"/>
          <w:sz w:val="28"/>
        </w:rPr>
        <w:t xml:space="preserve"> </w:t>
      </w:r>
      <w:r w:rsidR="00057DDE" w:rsidRPr="002C4A68">
        <w:rPr>
          <w:rFonts w:ascii="Times New Roman" w:hAnsi="Times New Roman" w:cs="Times New Roman"/>
          <w:color w:val="000000" w:themeColor="text1"/>
          <w:sz w:val="28"/>
        </w:rPr>
        <w:t xml:space="preserve">У висновках компетентні органи в межах своєї компетенції надають </w:t>
      </w:r>
      <w:proofErr w:type="spellStart"/>
      <w:r w:rsidR="00057DDE" w:rsidRPr="002C4A68">
        <w:rPr>
          <w:rFonts w:ascii="Times New Roman" w:hAnsi="Times New Roman" w:cs="Times New Roman"/>
          <w:color w:val="000000" w:themeColor="text1"/>
          <w:sz w:val="28"/>
        </w:rPr>
        <w:t>Міндовкілля</w:t>
      </w:r>
      <w:proofErr w:type="spellEnd"/>
      <w:r w:rsidR="00057DDE" w:rsidRPr="002C4A6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76795" w:rsidRPr="002C4A68">
        <w:rPr>
          <w:rFonts w:ascii="Times New Roman" w:hAnsi="Times New Roman" w:cs="Times New Roman"/>
          <w:sz w:val="28"/>
        </w:rPr>
        <w:t>пропозиції до умов, які включаються до інт</w:t>
      </w:r>
      <w:r w:rsidR="008049B8" w:rsidRPr="002C4A68">
        <w:rPr>
          <w:rFonts w:ascii="Times New Roman" w:hAnsi="Times New Roman" w:cs="Times New Roman"/>
          <w:sz w:val="28"/>
        </w:rPr>
        <w:t xml:space="preserve">егрованого </w:t>
      </w:r>
      <w:proofErr w:type="spellStart"/>
      <w:r w:rsidR="008049B8" w:rsidRPr="002C4A68">
        <w:rPr>
          <w:rFonts w:ascii="Times New Roman" w:hAnsi="Times New Roman" w:cs="Times New Roman"/>
          <w:sz w:val="28"/>
        </w:rPr>
        <w:t>довкіллєвого</w:t>
      </w:r>
      <w:proofErr w:type="spellEnd"/>
      <w:r w:rsidR="008049B8" w:rsidRPr="002C4A68">
        <w:rPr>
          <w:rFonts w:ascii="Times New Roman" w:hAnsi="Times New Roman" w:cs="Times New Roman"/>
          <w:sz w:val="28"/>
        </w:rPr>
        <w:t xml:space="preserve"> дозволу, передбачених</w:t>
      </w:r>
      <w:r w:rsidR="008049B8">
        <w:rPr>
          <w:rFonts w:ascii="Times New Roman" w:hAnsi="Times New Roman" w:cs="Times New Roman"/>
          <w:sz w:val="28"/>
        </w:rPr>
        <w:t xml:space="preserve"> </w:t>
      </w:r>
      <w:r w:rsidR="00976795" w:rsidRPr="00C671CD">
        <w:rPr>
          <w:rFonts w:ascii="Times New Roman" w:hAnsi="Times New Roman" w:cs="Times New Roman"/>
          <w:sz w:val="28"/>
        </w:rPr>
        <w:t>частиною шостою статті 10 Закону</w:t>
      </w:r>
      <w:r w:rsidR="004D360B" w:rsidRPr="00C671CD">
        <w:rPr>
          <w:rFonts w:ascii="Times New Roman" w:hAnsi="Times New Roman" w:cs="Times New Roman"/>
          <w:sz w:val="28"/>
        </w:rPr>
        <w:t>.</w:t>
      </w:r>
    </w:p>
    <w:p w14:paraId="6DCF2082" w14:textId="77777777" w:rsidR="003E3A28" w:rsidRPr="009F00A5" w:rsidRDefault="003E3A28" w:rsidP="00D17DDF">
      <w:pPr>
        <w:pStyle w:val="a3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" w:eastAsia="Times New Roman" w:hAnsi="Times" w:cs="Times New Roman"/>
          <w:bCs/>
          <w:color w:val="000000"/>
          <w:sz w:val="28"/>
          <w:szCs w:val="28"/>
        </w:rPr>
      </w:pPr>
    </w:p>
    <w:p w14:paraId="7004A94E" w14:textId="2319E4B0" w:rsidR="00ED3C20" w:rsidRDefault="002179D6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671CD">
        <w:rPr>
          <w:rFonts w:ascii="Times New Roman" w:hAnsi="Times New Roman" w:cs="Times New Roman"/>
          <w:sz w:val="28"/>
        </w:rPr>
        <w:t>. </w:t>
      </w:r>
      <w:r w:rsidR="00ED3C20" w:rsidRPr="003C3435">
        <w:rPr>
          <w:rFonts w:ascii="Times New Roman" w:hAnsi="Times New Roman" w:cs="Times New Roman"/>
          <w:sz w:val="28"/>
        </w:rPr>
        <w:t xml:space="preserve">Пропозиції щодо </w:t>
      </w:r>
      <w:r w:rsidR="00712763" w:rsidRPr="003C3435">
        <w:rPr>
          <w:rFonts w:ascii="Times New Roman" w:hAnsi="Times New Roman" w:cs="Times New Roman"/>
          <w:sz w:val="28"/>
        </w:rPr>
        <w:t>врахування</w:t>
      </w:r>
      <w:r w:rsidR="00F51EE0" w:rsidRPr="003C3435">
        <w:rPr>
          <w:rFonts w:ascii="Times New Roman" w:hAnsi="Times New Roman" w:cs="Times New Roman"/>
          <w:sz w:val="28"/>
        </w:rPr>
        <w:t xml:space="preserve">, часткового врахування або обґрунтованого відхилення </w:t>
      </w:r>
      <w:r w:rsidR="00E95362" w:rsidRPr="003C3435">
        <w:rPr>
          <w:rFonts w:ascii="Times New Roman" w:hAnsi="Times New Roman" w:cs="Times New Roman"/>
          <w:sz w:val="28"/>
        </w:rPr>
        <w:t xml:space="preserve">зауважень і пропозицій громадськості повинні містити позицію </w:t>
      </w:r>
      <w:r w:rsidR="00AA4855" w:rsidRPr="003C3435">
        <w:rPr>
          <w:rFonts w:ascii="Times New Roman" w:hAnsi="Times New Roman" w:cs="Times New Roman"/>
          <w:sz w:val="28"/>
        </w:rPr>
        <w:t>компетентного</w:t>
      </w:r>
      <w:r w:rsidR="00E95362" w:rsidRPr="003C3435">
        <w:rPr>
          <w:rFonts w:ascii="Times New Roman" w:hAnsi="Times New Roman" w:cs="Times New Roman"/>
          <w:sz w:val="28"/>
        </w:rPr>
        <w:t xml:space="preserve"> органу </w:t>
      </w:r>
      <w:r w:rsidR="00AA4855" w:rsidRPr="003C3435">
        <w:rPr>
          <w:rFonts w:ascii="Times New Roman" w:hAnsi="Times New Roman" w:cs="Times New Roman"/>
          <w:sz w:val="28"/>
        </w:rPr>
        <w:t xml:space="preserve">щодо способу </w:t>
      </w:r>
      <w:r w:rsidR="00ED3C20" w:rsidRPr="003C3435">
        <w:rPr>
          <w:rFonts w:ascii="Times New Roman" w:hAnsi="Times New Roman" w:cs="Times New Roman"/>
          <w:sz w:val="28"/>
        </w:rPr>
        <w:t>врахування</w:t>
      </w:r>
      <w:r w:rsidR="00AA4855" w:rsidRPr="003C3435">
        <w:rPr>
          <w:rFonts w:ascii="Times New Roman" w:hAnsi="Times New Roman" w:cs="Times New Roman"/>
          <w:sz w:val="28"/>
        </w:rPr>
        <w:t xml:space="preserve"> (в разі повного або</w:t>
      </w:r>
      <w:r w:rsidR="00ED3C20" w:rsidRPr="003C3435">
        <w:rPr>
          <w:rFonts w:ascii="Times New Roman" w:hAnsi="Times New Roman" w:cs="Times New Roman"/>
          <w:sz w:val="28"/>
        </w:rPr>
        <w:t xml:space="preserve"> часткового врахування</w:t>
      </w:r>
      <w:r w:rsidR="00AA4855" w:rsidRPr="003C3435">
        <w:rPr>
          <w:rFonts w:ascii="Times New Roman" w:hAnsi="Times New Roman" w:cs="Times New Roman"/>
          <w:sz w:val="28"/>
        </w:rPr>
        <w:t>)</w:t>
      </w:r>
      <w:r w:rsidR="00ED3C20" w:rsidRPr="003C3435">
        <w:rPr>
          <w:rFonts w:ascii="Times New Roman" w:hAnsi="Times New Roman" w:cs="Times New Roman"/>
          <w:sz w:val="28"/>
        </w:rPr>
        <w:t xml:space="preserve"> або обґрунт</w:t>
      </w:r>
      <w:r w:rsidR="00AA4855" w:rsidRPr="003C3435">
        <w:rPr>
          <w:rFonts w:ascii="Times New Roman" w:hAnsi="Times New Roman" w:cs="Times New Roman"/>
          <w:sz w:val="28"/>
        </w:rPr>
        <w:t xml:space="preserve">ування відхилення </w:t>
      </w:r>
      <w:r w:rsidR="00E95362" w:rsidRPr="003C3435">
        <w:rPr>
          <w:rFonts w:ascii="Times New Roman" w:hAnsi="Times New Roman" w:cs="Times New Roman"/>
          <w:sz w:val="28"/>
        </w:rPr>
        <w:t xml:space="preserve">зауважень і пропозицій </w:t>
      </w:r>
      <w:r w:rsidR="00AA4855" w:rsidRPr="003C3435">
        <w:rPr>
          <w:rFonts w:ascii="Times New Roman" w:hAnsi="Times New Roman" w:cs="Times New Roman"/>
          <w:sz w:val="28"/>
        </w:rPr>
        <w:t xml:space="preserve">громадськості </w:t>
      </w:r>
      <w:r w:rsidR="0071414B" w:rsidRPr="003C3435">
        <w:rPr>
          <w:rFonts w:ascii="Times New Roman" w:hAnsi="Times New Roman" w:cs="Times New Roman"/>
          <w:sz w:val="28"/>
        </w:rPr>
        <w:t>в межах компетенції компетентного органу</w:t>
      </w:r>
      <w:r w:rsidR="00AA4855" w:rsidRPr="003C3435">
        <w:rPr>
          <w:rFonts w:ascii="Times New Roman" w:hAnsi="Times New Roman" w:cs="Times New Roman"/>
          <w:sz w:val="28"/>
        </w:rPr>
        <w:t>.</w:t>
      </w:r>
    </w:p>
    <w:p w14:paraId="3E1F0C25" w14:textId="77777777" w:rsidR="003E3A28" w:rsidRPr="003C3435" w:rsidRDefault="003E3A28" w:rsidP="00D17DDF">
      <w:pPr>
        <w:pStyle w:val="a3"/>
        <w:shd w:val="clear" w:color="auto" w:fill="FFFFFF"/>
        <w:tabs>
          <w:tab w:val="left" w:pos="851"/>
          <w:tab w:val="left" w:pos="993"/>
        </w:tabs>
        <w:snapToGrid w:val="0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56286AD2" w14:textId="6E4CD275" w:rsidR="00367F9A" w:rsidRDefault="002179D6" w:rsidP="00D17DDF">
      <w:pPr>
        <w:shd w:val="clear" w:color="auto" w:fill="FFFFFF"/>
        <w:tabs>
          <w:tab w:val="left" w:pos="709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671CD" w:rsidRPr="00B050CC">
        <w:rPr>
          <w:rFonts w:ascii="Times New Roman" w:hAnsi="Times New Roman" w:cs="Times New Roman"/>
          <w:sz w:val="28"/>
        </w:rPr>
        <w:t>. </w:t>
      </w:r>
      <w:r w:rsidR="00367F9A" w:rsidRPr="00B050CC">
        <w:rPr>
          <w:rFonts w:ascii="Times New Roman" w:hAnsi="Times New Roman" w:cs="Times New Roman"/>
          <w:sz w:val="28"/>
        </w:rPr>
        <w:t xml:space="preserve">Обласні, Київська та Севастопольська міські державні адміністрації, орган виконавчої влади Автономної Республіки Крим з питань екології та природних ресурсів </w:t>
      </w:r>
      <w:r w:rsidR="003B160D" w:rsidRPr="00B050CC">
        <w:rPr>
          <w:rFonts w:ascii="Times New Roman" w:hAnsi="Times New Roman" w:cs="Times New Roman"/>
          <w:sz w:val="28"/>
        </w:rPr>
        <w:t xml:space="preserve">відповідних адміністративно-територіальних одиниць, які можуть зазнати впливу внаслідок діяльності установки, за місцезнаходженням </w:t>
      </w:r>
      <w:r w:rsidR="003B160D" w:rsidRPr="00334B32">
        <w:rPr>
          <w:rFonts w:ascii="Times New Roman" w:hAnsi="Times New Roman" w:cs="Times New Roman"/>
          <w:color w:val="000000" w:themeColor="text1"/>
          <w:sz w:val="28"/>
        </w:rPr>
        <w:t xml:space="preserve">установки </w:t>
      </w:r>
      <w:r w:rsidR="00EC0955" w:rsidRPr="006F24C6">
        <w:rPr>
          <w:rFonts w:ascii="Times New Roman" w:hAnsi="Times New Roman" w:cs="Times New Roman"/>
          <w:sz w:val="28"/>
        </w:rPr>
        <w:t>на</w:t>
      </w:r>
      <w:r w:rsidR="00367F9A" w:rsidRPr="006F24C6">
        <w:rPr>
          <w:rFonts w:ascii="Times New Roman" w:hAnsi="Times New Roman" w:cs="Times New Roman"/>
          <w:sz w:val="28"/>
        </w:rPr>
        <w:t>дають</w:t>
      </w:r>
      <w:r w:rsidR="00B30846" w:rsidRPr="006F24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0846" w:rsidRPr="006F24C6">
        <w:rPr>
          <w:rFonts w:ascii="Times New Roman" w:hAnsi="Times New Roman" w:cs="Times New Roman"/>
          <w:sz w:val="28"/>
        </w:rPr>
        <w:t>Міндовкілля</w:t>
      </w:r>
      <w:proofErr w:type="spellEnd"/>
      <w:r w:rsidR="00367F9A" w:rsidRPr="006F24C6">
        <w:rPr>
          <w:rFonts w:ascii="Times New Roman" w:hAnsi="Times New Roman" w:cs="Times New Roman"/>
          <w:sz w:val="28"/>
        </w:rPr>
        <w:t xml:space="preserve"> висновки</w:t>
      </w:r>
      <w:r w:rsidR="00B30846" w:rsidRPr="006F24C6">
        <w:rPr>
          <w:rFonts w:ascii="Times New Roman" w:hAnsi="Times New Roman" w:cs="Times New Roman"/>
          <w:sz w:val="28"/>
        </w:rPr>
        <w:t xml:space="preserve"> </w:t>
      </w:r>
      <w:r w:rsidR="00334B32" w:rsidRPr="006F24C6">
        <w:rPr>
          <w:rFonts w:ascii="Times New Roman" w:hAnsi="Times New Roman" w:cs="Times New Roman"/>
          <w:sz w:val="28"/>
        </w:rPr>
        <w:t xml:space="preserve">з урахуванням </w:t>
      </w:r>
      <w:r w:rsidR="00B30846" w:rsidRPr="006F24C6">
        <w:rPr>
          <w:rFonts w:ascii="Times New Roman" w:hAnsi="Times New Roman" w:cs="Times New Roman"/>
          <w:sz w:val="28"/>
        </w:rPr>
        <w:t>стан</w:t>
      </w:r>
      <w:r w:rsidR="00334B32" w:rsidRPr="006F24C6">
        <w:rPr>
          <w:rFonts w:ascii="Times New Roman" w:hAnsi="Times New Roman" w:cs="Times New Roman"/>
          <w:sz w:val="28"/>
        </w:rPr>
        <w:t>у</w:t>
      </w:r>
      <w:r w:rsidR="00B30846" w:rsidRPr="006F24C6">
        <w:rPr>
          <w:rFonts w:ascii="Times New Roman" w:hAnsi="Times New Roman" w:cs="Times New Roman"/>
          <w:sz w:val="28"/>
        </w:rPr>
        <w:t xml:space="preserve"> довкілля відповідн</w:t>
      </w:r>
      <w:r w:rsidR="005216A3">
        <w:rPr>
          <w:rFonts w:ascii="Times New Roman" w:hAnsi="Times New Roman" w:cs="Times New Roman"/>
          <w:sz w:val="28"/>
        </w:rPr>
        <w:t>ої</w:t>
      </w:r>
      <w:r w:rsidR="00B30846" w:rsidRPr="006F24C6">
        <w:rPr>
          <w:rFonts w:ascii="Times New Roman" w:hAnsi="Times New Roman" w:cs="Times New Roman"/>
          <w:sz w:val="28"/>
        </w:rPr>
        <w:t xml:space="preserve"> </w:t>
      </w:r>
      <w:r w:rsidR="005216A3" w:rsidRPr="002C4A68">
        <w:rPr>
          <w:rFonts w:ascii="Times New Roman" w:hAnsi="Times New Roman" w:cs="Times New Roman"/>
          <w:sz w:val="28"/>
        </w:rPr>
        <w:t>адміністративної-територіальної одиниці</w:t>
      </w:r>
      <w:r w:rsidR="005216A3" w:rsidRPr="005216A3">
        <w:rPr>
          <w:rFonts w:ascii="Times New Roman" w:hAnsi="Times New Roman" w:cs="Times New Roman"/>
          <w:sz w:val="28"/>
        </w:rPr>
        <w:t xml:space="preserve"> </w:t>
      </w:r>
      <w:r w:rsidR="00B30846" w:rsidRPr="006F24C6">
        <w:rPr>
          <w:rFonts w:ascii="Times New Roman" w:hAnsi="Times New Roman" w:cs="Times New Roman"/>
          <w:sz w:val="28"/>
        </w:rPr>
        <w:t>та документ</w:t>
      </w:r>
      <w:r w:rsidR="00334B32" w:rsidRPr="006F24C6">
        <w:rPr>
          <w:rFonts w:ascii="Times New Roman" w:hAnsi="Times New Roman" w:cs="Times New Roman"/>
          <w:sz w:val="28"/>
        </w:rPr>
        <w:t>ів</w:t>
      </w:r>
      <w:r w:rsidR="00B30846" w:rsidRPr="006F24C6">
        <w:rPr>
          <w:rFonts w:ascii="Times New Roman" w:hAnsi="Times New Roman" w:cs="Times New Roman"/>
          <w:sz w:val="28"/>
        </w:rPr>
        <w:t xml:space="preserve"> державного планування </w:t>
      </w:r>
      <w:r w:rsidR="009F00A5">
        <w:rPr>
          <w:rFonts w:ascii="Times New Roman" w:hAnsi="Times New Roman" w:cs="Times New Roman"/>
          <w:sz w:val="28"/>
        </w:rPr>
        <w:t xml:space="preserve">місцевого та </w:t>
      </w:r>
      <w:r w:rsidR="00615CB6" w:rsidRPr="00573C91">
        <w:rPr>
          <w:rFonts w:ascii="Times New Roman" w:hAnsi="Times New Roman" w:cs="Times New Roman"/>
          <w:sz w:val="28"/>
        </w:rPr>
        <w:t>регіонального</w:t>
      </w:r>
      <w:r w:rsidR="00615CB6">
        <w:rPr>
          <w:rFonts w:ascii="Times New Roman" w:hAnsi="Times New Roman" w:cs="Times New Roman"/>
          <w:sz w:val="28"/>
        </w:rPr>
        <w:t xml:space="preserve"> рівн</w:t>
      </w:r>
      <w:r w:rsidR="009F00A5">
        <w:rPr>
          <w:rFonts w:ascii="Times New Roman" w:hAnsi="Times New Roman" w:cs="Times New Roman"/>
          <w:sz w:val="28"/>
        </w:rPr>
        <w:t>ів</w:t>
      </w:r>
      <w:r w:rsidR="00615CB6">
        <w:rPr>
          <w:rFonts w:ascii="Times New Roman" w:hAnsi="Times New Roman" w:cs="Times New Roman"/>
          <w:sz w:val="28"/>
        </w:rPr>
        <w:t xml:space="preserve"> </w:t>
      </w:r>
      <w:r w:rsidR="00B30846" w:rsidRPr="006F24C6">
        <w:rPr>
          <w:rFonts w:ascii="Times New Roman" w:hAnsi="Times New Roman" w:cs="Times New Roman"/>
          <w:sz w:val="28"/>
        </w:rPr>
        <w:t>у сфері охорони довкілля.</w:t>
      </w:r>
      <w:r w:rsidR="007B3F03" w:rsidRPr="006F24C6">
        <w:rPr>
          <w:rFonts w:ascii="Times New Roman" w:hAnsi="Times New Roman" w:cs="Times New Roman"/>
          <w:sz w:val="28"/>
        </w:rPr>
        <w:t xml:space="preserve"> </w:t>
      </w:r>
    </w:p>
    <w:p w14:paraId="4821B717" w14:textId="77777777" w:rsidR="003E3A28" w:rsidRPr="00B050CC" w:rsidRDefault="003E3A28" w:rsidP="00D17DDF">
      <w:pPr>
        <w:shd w:val="clear" w:color="auto" w:fill="FFFFFF"/>
        <w:tabs>
          <w:tab w:val="left" w:pos="709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strike/>
          <w:sz w:val="28"/>
        </w:rPr>
      </w:pPr>
    </w:p>
    <w:p w14:paraId="4F294110" w14:textId="061E0128" w:rsidR="00C671CD" w:rsidRDefault="002179D6" w:rsidP="00D17DDF">
      <w:pPr>
        <w:shd w:val="clear" w:color="auto" w:fill="FFFFFF"/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5F378C">
        <w:rPr>
          <w:rFonts w:ascii="Times New Roman" w:hAnsi="Times New Roman" w:cs="Times New Roman"/>
          <w:sz w:val="28"/>
        </w:rPr>
        <w:t>. </w:t>
      </w:r>
      <w:proofErr w:type="spellStart"/>
      <w:r w:rsidR="005F378C">
        <w:rPr>
          <w:rFonts w:ascii="Times New Roman" w:hAnsi="Times New Roman" w:cs="Times New Roman"/>
          <w:sz w:val="28"/>
        </w:rPr>
        <w:t>Держекоінспекція</w:t>
      </w:r>
      <w:proofErr w:type="spellEnd"/>
      <w:r w:rsidR="005F378C">
        <w:rPr>
          <w:rFonts w:ascii="Times New Roman" w:hAnsi="Times New Roman" w:cs="Times New Roman"/>
          <w:sz w:val="28"/>
        </w:rPr>
        <w:t xml:space="preserve"> </w:t>
      </w:r>
      <w:r w:rsidR="00407BBB">
        <w:rPr>
          <w:rFonts w:ascii="Times New Roman" w:hAnsi="Times New Roman" w:cs="Times New Roman"/>
          <w:sz w:val="28"/>
        </w:rPr>
        <w:t>у своїх висновках</w:t>
      </w:r>
      <w:r w:rsidR="00D577A3">
        <w:rPr>
          <w:rFonts w:ascii="Times New Roman" w:hAnsi="Times New Roman" w:cs="Times New Roman"/>
          <w:sz w:val="28"/>
        </w:rPr>
        <w:t xml:space="preserve"> </w:t>
      </w:r>
      <w:r w:rsidR="005F378C">
        <w:rPr>
          <w:rFonts w:ascii="Times New Roman" w:hAnsi="Times New Roman" w:cs="Times New Roman"/>
          <w:sz w:val="28"/>
        </w:rPr>
        <w:t>надає</w:t>
      </w:r>
      <w:r w:rsidR="005F378C" w:rsidRPr="005F37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77A3">
        <w:rPr>
          <w:rFonts w:ascii="Times New Roman" w:hAnsi="Times New Roman" w:cs="Times New Roman"/>
          <w:sz w:val="28"/>
        </w:rPr>
        <w:t>Міндовкілля</w:t>
      </w:r>
      <w:proofErr w:type="spellEnd"/>
      <w:r w:rsidR="00D577A3">
        <w:rPr>
          <w:rFonts w:ascii="Times New Roman" w:hAnsi="Times New Roman" w:cs="Times New Roman"/>
          <w:sz w:val="28"/>
        </w:rPr>
        <w:t xml:space="preserve"> </w:t>
      </w:r>
      <w:r w:rsidR="005F378C">
        <w:rPr>
          <w:rFonts w:ascii="Times New Roman" w:hAnsi="Times New Roman" w:cs="Times New Roman"/>
          <w:sz w:val="28"/>
        </w:rPr>
        <w:t>п</w:t>
      </w:r>
      <w:r w:rsidR="00C671CD" w:rsidRPr="005F378C">
        <w:rPr>
          <w:rFonts w:ascii="Times New Roman" w:hAnsi="Times New Roman" w:cs="Times New Roman"/>
          <w:sz w:val="28"/>
        </w:rPr>
        <w:t xml:space="preserve">ропозиції щодо періодичності проведення перевірок дотримання оператором установки умов інтегрованого </w:t>
      </w:r>
      <w:proofErr w:type="spellStart"/>
      <w:r w:rsidR="00C671CD" w:rsidRPr="005F378C">
        <w:rPr>
          <w:rFonts w:ascii="Times New Roman" w:hAnsi="Times New Roman" w:cs="Times New Roman"/>
          <w:sz w:val="28"/>
        </w:rPr>
        <w:t>довкіллєвого</w:t>
      </w:r>
      <w:proofErr w:type="spellEnd"/>
      <w:r w:rsidR="00C671CD" w:rsidRPr="005F378C">
        <w:rPr>
          <w:rFonts w:ascii="Times New Roman" w:hAnsi="Times New Roman" w:cs="Times New Roman"/>
          <w:sz w:val="28"/>
        </w:rPr>
        <w:t xml:space="preserve"> дозволу</w:t>
      </w:r>
      <w:r w:rsidR="00810C3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2179D6">
        <w:rPr>
          <w:rFonts w:ascii="Times New Roman" w:hAnsi="Times New Roman" w:cs="Times New Roman"/>
          <w:sz w:val="28"/>
        </w:rPr>
        <w:t xml:space="preserve">які зазначаються у позиції щодо видачі інтегрованого </w:t>
      </w:r>
      <w:proofErr w:type="spellStart"/>
      <w:r w:rsidRPr="002179D6">
        <w:rPr>
          <w:rFonts w:ascii="Times New Roman" w:hAnsi="Times New Roman" w:cs="Times New Roman"/>
          <w:sz w:val="28"/>
        </w:rPr>
        <w:t>довкіллєвого</w:t>
      </w:r>
      <w:proofErr w:type="spellEnd"/>
      <w:r w:rsidRPr="002179D6">
        <w:rPr>
          <w:rFonts w:ascii="Times New Roman" w:hAnsi="Times New Roman" w:cs="Times New Roman"/>
          <w:sz w:val="28"/>
        </w:rPr>
        <w:t xml:space="preserve"> дозволу (внесення змін до нього).</w:t>
      </w:r>
    </w:p>
    <w:p w14:paraId="45A030B2" w14:textId="77777777" w:rsidR="003E3A28" w:rsidRDefault="003E3A28" w:rsidP="00D17DDF">
      <w:pPr>
        <w:shd w:val="clear" w:color="auto" w:fill="FFFFFF"/>
        <w:tabs>
          <w:tab w:val="left" w:pos="851"/>
          <w:tab w:val="left" w:pos="993"/>
        </w:tabs>
        <w:snapToGrid w:val="0"/>
        <w:ind w:firstLine="567"/>
        <w:jc w:val="both"/>
        <w:rPr>
          <w:rFonts w:ascii="Times New Roman" w:hAnsi="Times New Roman" w:cs="Times New Roman"/>
          <w:sz w:val="28"/>
        </w:rPr>
      </w:pPr>
    </w:p>
    <w:p w14:paraId="407E0A9E" w14:textId="42C9EE05" w:rsidR="006F543E" w:rsidRPr="006F543E" w:rsidRDefault="006F543E" w:rsidP="00C671CD">
      <w:pPr>
        <w:shd w:val="clear" w:color="auto" w:fill="FFFFFF"/>
        <w:tabs>
          <w:tab w:val="left" w:pos="851"/>
          <w:tab w:val="left" w:pos="993"/>
        </w:tabs>
        <w:snapToGrid w:val="0"/>
        <w:spacing w:after="120"/>
        <w:ind w:right="-46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810C32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  <w:lang w:val="en-US"/>
        </w:rPr>
        <w:t>_____________________________________</w:t>
      </w:r>
    </w:p>
    <w:p w14:paraId="2339AE52" w14:textId="57BD0F48" w:rsidR="003C0722" w:rsidRPr="006F543E" w:rsidRDefault="003C0722" w:rsidP="006F543E">
      <w:pPr>
        <w:pStyle w:val="a3"/>
        <w:shd w:val="clear" w:color="auto" w:fill="FFFFFF"/>
        <w:tabs>
          <w:tab w:val="left" w:pos="851"/>
          <w:tab w:val="left" w:pos="993"/>
        </w:tabs>
        <w:snapToGrid w:val="0"/>
        <w:spacing w:after="120"/>
        <w:ind w:left="567" w:right="-46"/>
        <w:contextualSpacing w:val="0"/>
        <w:jc w:val="center"/>
        <w:rPr>
          <w:rFonts w:ascii="Times New Roman" w:hAnsi="Times New Roman" w:cs="Times New Roman"/>
          <w:strike/>
          <w:sz w:val="28"/>
          <w:highlight w:val="cyan"/>
          <w:lang w:val="en-US"/>
        </w:rPr>
      </w:pPr>
    </w:p>
    <w:sectPr w:rsidR="003C0722" w:rsidRPr="006F543E" w:rsidSect="002A1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62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451C" w14:textId="77777777" w:rsidR="00C21CF9" w:rsidRDefault="00C21CF9" w:rsidP="002A10F5">
      <w:r>
        <w:separator/>
      </w:r>
    </w:p>
  </w:endnote>
  <w:endnote w:type="continuationSeparator" w:id="0">
    <w:p w14:paraId="56DB91A4" w14:textId="77777777" w:rsidR="00C21CF9" w:rsidRDefault="00C21CF9" w:rsidP="002A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D57B" w14:textId="77777777" w:rsidR="002A10F5" w:rsidRDefault="002A10F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6546" w14:textId="77777777" w:rsidR="002A10F5" w:rsidRDefault="002A10F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96A9" w14:textId="77777777" w:rsidR="002A10F5" w:rsidRDefault="002A10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E42D" w14:textId="77777777" w:rsidR="00C21CF9" w:rsidRDefault="00C21CF9" w:rsidP="002A10F5">
      <w:r>
        <w:separator/>
      </w:r>
    </w:p>
  </w:footnote>
  <w:footnote w:type="continuationSeparator" w:id="0">
    <w:p w14:paraId="24F97718" w14:textId="77777777" w:rsidR="00C21CF9" w:rsidRDefault="00C21CF9" w:rsidP="002A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716E" w14:textId="77777777" w:rsidR="002A10F5" w:rsidRDefault="002A10F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546726"/>
      <w:docPartObj>
        <w:docPartGallery w:val="Page Numbers (Top of Page)"/>
        <w:docPartUnique/>
      </w:docPartObj>
    </w:sdtPr>
    <w:sdtEndPr/>
    <w:sdtContent>
      <w:p w14:paraId="1350BD98" w14:textId="05BDA233" w:rsidR="002A10F5" w:rsidRDefault="002A10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BA" w:rsidRPr="00D159BA">
          <w:rPr>
            <w:noProof/>
            <w:lang w:val="ru-RU"/>
          </w:rPr>
          <w:t>2</w:t>
        </w:r>
        <w:r>
          <w:fldChar w:fldCharType="end"/>
        </w:r>
      </w:p>
    </w:sdtContent>
  </w:sdt>
  <w:p w14:paraId="7191F2B0" w14:textId="77777777" w:rsidR="002A10F5" w:rsidRDefault="002A10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F4BF" w14:textId="77777777" w:rsidR="002A10F5" w:rsidRDefault="002A10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2E9"/>
    <w:multiLevelType w:val="hybridMultilevel"/>
    <w:tmpl w:val="A69AF0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0C40D5D"/>
    <w:multiLevelType w:val="hybridMultilevel"/>
    <w:tmpl w:val="AE4AEA1E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0C055CE"/>
    <w:multiLevelType w:val="hybridMultilevel"/>
    <w:tmpl w:val="CB843A8C"/>
    <w:lvl w:ilvl="0" w:tplc="8C88A6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B194EB38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1"/>
    <w:rsid w:val="00042AFB"/>
    <w:rsid w:val="0004316F"/>
    <w:rsid w:val="00044BD3"/>
    <w:rsid w:val="00047297"/>
    <w:rsid w:val="00057DDE"/>
    <w:rsid w:val="000728EC"/>
    <w:rsid w:val="000805EE"/>
    <w:rsid w:val="000B06E5"/>
    <w:rsid w:val="000C46D0"/>
    <w:rsid w:val="000E7680"/>
    <w:rsid w:val="000F0C81"/>
    <w:rsid w:val="00106F32"/>
    <w:rsid w:val="00111A87"/>
    <w:rsid w:val="0014692A"/>
    <w:rsid w:val="001717E3"/>
    <w:rsid w:val="00196690"/>
    <w:rsid w:val="001F49B4"/>
    <w:rsid w:val="00204C00"/>
    <w:rsid w:val="002179D6"/>
    <w:rsid w:val="0023290E"/>
    <w:rsid w:val="00250235"/>
    <w:rsid w:val="00262965"/>
    <w:rsid w:val="00283674"/>
    <w:rsid w:val="00285689"/>
    <w:rsid w:val="002937AA"/>
    <w:rsid w:val="00295E96"/>
    <w:rsid w:val="0029713F"/>
    <w:rsid w:val="002A0613"/>
    <w:rsid w:val="002A10F5"/>
    <w:rsid w:val="002A351F"/>
    <w:rsid w:val="002C212C"/>
    <w:rsid w:val="002C4A68"/>
    <w:rsid w:val="00334B32"/>
    <w:rsid w:val="00337343"/>
    <w:rsid w:val="00337C5E"/>
    <w:rsid w:val="0034180D"/>
    <w:rsid w:val="0034444C"/>
    <w:rsid w:val="00346918"/>
    <w:rsid w:val="00350DED"/>
    <w:rsid w:val="00354C6F"/>
    <w:rsid w:val="003551E1"/>
    <w:rsid w:val="00363E2D"/>
    <w:rsid w:val="00364C5E"/>
    <w:rsid w:val="00365B7A"/>
    <w:rsid w:val="00367F9A"/>
    <w:rsid w:val="003B160D"/>
    <w:rsid w:val="003C0722"/>
    <w:rsid w:val="003C3435"/>
    <w:rsid w:val="003E3A28"/>
    <w:rsid w:val="003E5C8C"/>
    <w:rsid w:val="003E6D60"/>
    <w:rsid w:val="00407BBB"/>
    <w:rsid w:val="00420170"/>
    <w:rsid w:val="00437198"/>
    <w:rsid w:val="00445E8C"/>
    <w:rsid w:val="00466633"/>
    <w:rsid w:val="00493DD8"/>
    <w:rsid w:val="004A321B"/>
    <w:rsid w:val="004D03E4"/>
    <w:rsid w:val="004D360B"/>
    <w:rsid w:val="004D706B"/>
    <w:rsid w:val="004E435D"/>
    <w:rsid w:val="004E44F1"/>
    <w:rsid w:val="004F1DBE"/>
    <w:rsid w:val="004F533E"/>
    <w:rsid w:val="0050540A"/>
    <w:rsid w:val="0051239D"/>
    <w:rsid w:val="005216A3"/>
    <w:rsid w:val="005340AC"/>
    <w:rsid w:val="00534F2D"/>
    <w:rsid w:val="00550A92"/>
    <w:rsid w:val="00560508"/>
    <w:rsid w:val="00564A5D"/>
    <w:rsid w:val="00573C91"/>
    <w:rsid w:val="00576D33"/>
    <w:rsid w:val="005A5153"/>
    <w:rsid w:val="005C42A9"/>
    <w:rsid w:val="005C60B4"/>
    <w:rsid w:val="005D151E"/>
    <w:rsid w:val="005F378C"/>
    <w:rsid w:val="00615CB6"/>
    <w:rsid w:val="00624954"/>
    <w:rsid w:val="0064714D"/>
    <w:rsid w:val="00671FBB"/>
    <w:rsid w:val="006816D9"/>
    <w:rsid w:val="006A1F95"/>
    <w:rsid w:val="006B265C"/>
    <w:rsid w:val="006B4E84"/>
    <w:rsid w:val="006D3E76"/>
    <w:rsid w:val="006E69E0"/>
    <w:rsid w:val="006F24C6"/>
    <w:rsid w:val="006F543E"/>
    <w:rsid w:val="006F6500"/>
    <w:rsid w:val="00702A22"/>
    <w:rsid w:val="00712763"/>
    <w:rsid w:val="0071414B"/>
    <w:rsid w:val="007235A3"/>
    <w:rsid w:val="00752B30"/>
    <w:rsid w:val="0076134C"/>
    <w:rsid w:val="00770FA3"/>
    <w:rsid w:val="00786C01"/>
    <w:rsid w:val="00793B2C"/>
    <w:rsid w:val="007B21C4"/>
    <w:rsid w:val="007B3F03"/>
    <w:rsid w:val="007C3DBF"/>
    <w:rsid w:val="007C459C"/>
    <w:rsid w:val="007E70E0"/>
    <w:rsid w:val="008049B8"/>
    <w:rsid w:val="00810C32"/>
    <w:rsid w:val="00854E09"/>
    <w:rsid w:val="00861CE2"/>
    <w:rsid w:val="00866606"/>
    <w:rsid w:val="008755D1"/>
    <w:rsid w:val="008972BD"/>
    <w:rsid w:val="008A6596"/>
    <w:rsid w:val="008C2EE3"/>
    <w:rsid w:val="008C4061"/>
    <w:rsid w:val="008C74E1"/>
    <w:rsid w:val="008D1C05"/>
    <w:rsid w:val="00900D84"/>
    <w:rsid w:val="0091285C"/>
    <w:rsid w:val="0092029C"/>
    <w:rsid w:val="00927FE1"/>
    <w:rsid w:val="00932E14"/>
    <w:rsid w:val="00934986"/>
    <w:rsid w:val="00976795"/>
    <w:rsid w:val="00983244"/>
    <w:rsid w:val="00986C7A"/>
    <w:rsid w:val="009C1C85"/>
    <w:rsid w:val="009C4069"/>
    <w:rsid w:val="009F00A5"/>
    <w:rsid w:val="00A17646"/>
    <w:rsid w:val="00A21BAE"/>
    <w:rsid w:val="00A25887"/>
    <w:rsid w:val="00A756DA"/>
    <w:rsid w:val="00A75FCE"/>
    <w:rsid w:val="00A77227"/>
    <w:rsid w:val="00A80187"/>
    <w:rsid w:val="00A96AD7"/>
    <w:rsid w:val="00AA0AB6"/>
    <w:rsid w:val="00AA4855"/>
    <w:rsid w:val="00AB7444"/>
    <w:rsid w:val="00AC055A"/>
    <w:rsid w:val="00AC2B5E"/>
    <w:rsid w:val="00AC3536"/>
    <w:rsid w:val="00AC6F22"/>
    <w:rsid w:val="00B008C1"/>
    <w:rsid w:val="00B03BED"/>
    <w:rsid w:val="00B050CC"/>
    <w:rsid w:val="00B05A03"/>
    <w:rsid w:val="00B30846"/>
    <w:rsid w:val="00B35B2F"/>
    <w:rsid w:val="00B65D28"/>
    <w:rsid w:val="00BA70F5"/>
    <w:rsid w:val="00BC3451"/>
    <w:rsid w:val="00C02DCE"/>
    <w:rsid w:val="00C20CAF"/>
    <w:rsid w:val="00C21CF9"/>
    <w:rsid w:val="00C32859"/>
    <w:rsid w:val="00C46872"/>
    <w:rsid w:val="00C641A8"/>
    <w:rsid w:val="00C6631C"/>
    <w:rsid w:val="00C671CD"/>
    <w:rsid w:val="00C70446"/>
    <w:rsid w:val="00C82CD0"/>
    <w:rsid w:val="00C9045D"/>
    <w:rsid w:val="00C910B6"/>
    <w:rsid w:val="00C957B2"/>
    <w:rsid w:val="00CA2A44"/>
    <w:rsid w:val="00CA5084"/>
    <w:rsid w:val="00CC687E"/>
    <w:rsid w:val="00CE009A"/>
    <w:rsid w:val="00CF297B"/>
    <w:rsid w:val="00D1068E"/>
    <w:rsid w:val="00D159BA"/>
    <w:rsid w:val="00D17DDF"/>
    <w:rsid w:val="00D2067D"/>
    <w:rsid w:val="00D26718"/>
    <w:rsid w:val="00D32D15"/>
    <w:rsid w:val="00D577A3"/>
    <w:rsid w:val="00E1193C"/>
    <w:rsid w:val="00E333C8"/>
    <w:rsid w:val="00E72C22"/>
    <w:rsid w:val="00E95362"/>
    <w:rsid w:val="00EA5C10"/>
    <w:rsid w:val="00EB4451"/>
    <w:rsid w:val="00EC0955"/>
    <w:rsid w:val="00EC1C9F"/>
    <w:rsid w:val="00EC4C5E"/>
    <w:rsid w:val="00ED3C20"/>
    <w:rsid w:val="00EE0148"/>
    <w:rsid w:val="00EF2DD3"/>
    <w:rsid w:val="00F13F4B"/>
    <w:rsid w:val="00F16C67"/>
    <w:rsid w:val="00F27694"/>
    <w:rsid w:val="00F32BF3"/>
    <w:rsid w:val="00F352AF"/>
    <w:rsid w:val="00F473FE"/>
    <w:rsid w:val="00F51EE0"/>
    <w:rsid w:val="00F71957"/>
    <w:rsid w:val="00F91EB1"/>
    <w:rsid w:val="00F93512"/>
    <w:rsid w:val="00F95BB8"/>
    <w:rsid w:val="00FA75D7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8D3E"/>
  <w15:docId w15:val="{31345D14-2A8F-4497-AAC6-AE0D9CA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D1"/>
    <w:rPr>
      <w:kern w:val="0"/>
      <w14:ligatures w14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21B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BAE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8755D1"/>
    <w:pPr>
      <w:ind w:left="720"/>
      <w:contextualSpacing/>
    </w:pPr>
  </w:style>
  <w:style w:type="paragraph" w:customStyle="1" w:styleId="ShapkaDocumentu">
    <w:name w:val="Shapka Documentu"/>
    <w:basedOn w:val="a"/>
    <w:rsid w:val="00F13F4B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1C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3469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91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918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9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918"/>
    <w:rPr>
      <w:b/>
      <w:bCs/>
      <w:kern w:val="0"/>
      <w:sz w:val="20"/>
      <w:szCs w:val="20"/>
      <w14:ligatures w14:val="none"/>
    </w:rPr>
  </w:style>
  <w:style w:type="paragraph" w:styleId="ab">
    <w:name w:val="Revision"/>
    <w:hidden/>
    <w:uiPriority w:val="99"/>
    <w:semiHidden/>
    <w:rsid w:val="007C3DBF"/>
    <w:rPr>
      <w:kern w:val="0"/>
      <w14:ligatures w14:val="none"/>
    </w:rPr>
  </w:style>
  <w:style w:type="paragraph" w:customStyle="1" w:styleId="ac">
    <w:name w:val="Нормальний текст"/>
    <w:basedOn w:val="a"/>
    <w:rsid w:val="00986C7A"/>
    <w:pPr>
      <w:spacing w:before="120"/>
      <w:ind w:firstLine="567"/>
    </w:pPr>
    <w:rPr>
      <w:rFonts w:ascii="Antiqua" w:eastAsia="SimSun" w:hAnsi="Antiqua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A10F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2A10F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10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68C3-884A-4558-BBEF-7AEA8294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Yelyzaveta Aleksyeyeva</dc:creator>
  <cp:lastModifiedBy>ПАВЛЕНКО Наталія Вікторівна</cp:lastModifiedBy>
  <cp:revision>2</cp:revision>
  <cp:lastPrinted>2024-08-29T07:30:00Z</cp:lastPrinted>
  <dcterms:created xsi:type="dcterms:W3CDTF">2024-09-04T06:58:00Z</dcterms:created>
  <dcterms:modified xsi:type="dcterms:W3CDTF">2024-09-04T06:58:00Z</dcterms:modified>
</cp:coreProperties>
</file>