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FAB" w:rsidRPr="00895C66" w:rsidRDefault="00FC5FAB" w:rsidP="00FC5FAB">
      <w:pPr>
        <w:widowControl w:val="0"/>
        <w:spacing w:after="0" w:line="240" w:lineRule="auto"/>
        <w:jc w:val="center"/>
        <w:rPr>
          <w:rFonts w:ascii="Times New Roman" w:hAnsi="Times New Roman" w:cs="Times New Roman"/>
          <w:b/>
          <w:i/>
          <w:sz w:val="28"/>
          <w:szCs w:val="28"/>
        </w:rPr>
      </w:pPr>
      <w:bookmarkStart w:id="0" w:name="_GoBack"/>
      <w:bookmarkEnd w:id="0"/>
      <w:r w:rsidRPr="00895C66">
        <w:rPr>
          <w:rFonts w:ascii="Times New Roman" w:hAnsi="Times New Roman" w:cs="Times New Roman"/>
          <w:b/>
          <w:i/>
          <w:sz w:val="28"/>
          <w:szCs w:val="28"/>
        </w:rPr>
        <w:t xml:space="preserve">Повідомлення про намір отримати дозвіл на викиди </w:t>
      </w:r>
    </w:p>
    <w:p w:rsidR="00FC5FAB" w:rsidRPr="00895C66" w:rsidRDefault="00FC5FAB" w:rsidP="00FC5FAB">
      <w:pPr>
        <w:widowControl w:val="0"/>
        <w:spacing w:after="0" w:line="240" w:lineRule="auto"/>
        <w:jc w:val="center"/>
        <w:rPr>
          <w:rFonts w:ascii="Times New Roman" w:hAnsi="Times New Roman" w:cs="Times New Roman"/>
          <w:b/>
          <w:i/>
          <w:sz w:val="28"/>
          <w:szCs w:val="28"/>
        </w:rPr>
      </w:pPr>
      <w:r w:rsidRPr="00895C66">
        <w:rPr>
          <w:rFonts w:ascii="Times New Roman" w:hAnsi="Times New Roman" w:cs="Times New Roman"/>
          <w:b/>
          <w:i/>
          <w:sz w:val="28"/>
          <w:szCs w:val="28"/>
        </w:rPr>
        <w:t>Публічного Акціонерного Товариства «АрселорМіттал Кривий Ріг»</w:t>
      </w:r>
      <w:r w:rsidRPr="00895C66">
        <w:t xml:space="preserve"> </w:t>
      </w:r>
      <w:r w:rsidRPr="00895C66">
        <w:rPr>
          <w:rFonts w:ascii="Times New Roman" w:hAnsi="Times New Roman" w:cs="Times New Roman"/>
          <w:b/>
          <w:i/>
          <w:sz w:val="28"/>
          <w:szCs w:val="28"/>
        </w:rPr>
        <w:t>промисловий майданчик № 5 База відпочинку «</w:t>
      </w:r>
      <w:proofErr w:type="spellStart"/>
      <w:r w:rsidRPr="00895C66">
        <w:rPr>
          <w:rFonts w:ascii="Times New Roman" w:hAnsi="Times New Roman" w:cs="Times New Roman"/>
          <w:b/>
          <w:i/>
          <w:sz w:val="28"/>
          <w:szCs w:val="28"/>
        </w:rPr>
        <w:t>Мар'янівка</w:t>
      </w:r>
      <w:proofErr w:type="spellEnd"/>
      <w:r w:rsidRPr="00895C66">
        <w:rPr>
          <w:rFonts w:ascii="Times New Roman" w:hAnsi="Times New Roman" w:cs="Times New Roman"/>
          <w:b/>
          <w:i/>
          <w:sz w:val="28"/>
          <w:szCs w:val="28"/>
        </w:rPr>
        <w:t xml:space="preserve">» </w:t>
      </w:r>
    </w:p>
    <w:p w:rsidR="00FC5FAB" w:rsidRPr="00895C66" w:rsidRDefault="00FC5FAB" w:rsidP="00FC5FAB">
      <w:pPr>
        <w:widowControl w:val="0"/>
        <w:spacing w:after="0" w:line="240" w:lineRule="auto"/>
        <w:ind w:firstLine="709"/>
        <w:jc w:val="both"/>
        <w:rPr>
          <w:rFonts w:ascii="Times New Roman" w:hAnsi="Times New Roman" w:cs="Times New Roman"/>
          <w:sz w:val="28"/>
          <w:szCs w:val="28"/>
        </w:rPr>
      </w:pPr>
    </w:p>
    <w:p w:rsidR="00FC5FAB" w:rsidRPr="00895C66" w:rsidRDefault="00FC5FAB" w:rsidP="00FC5FAB">
      <w:pPr>
        <w:pStyle w:val="a7"/>
        <w:widowControl w:val="0"/>
        <w:spacing w:after="0" w:line="240" w:lineRule="auto"/>
        <w:ind w:firstLine="708"/>
        <w:jc w:val="both"/>
        <w:rPr>
          <w:rFonts w:ascii="Times New Roman" w:hAnsi="Times New Roman" w:cs="Times New Roman"/>
          <w:sz w:val="28"/>
          <w:szCs w:val="28"/>
        </w:rPr>
      </w:pPr>
      <w:r w:rsidRPr="00895C66">
        <w:rPr>
          <w:rFonts w:ascii="Times New Roman" w:hAnsi="Times New Roman" w:cs="Times New Roman"/>
          <w:i/>
          <w:sz w:val="28"/>
          <w:szCs w:val="28"/>
        </w:rPr>
        <w:t>Повне та скорочене найменування суб’єкта господарювання</w:t>
      </w:r>
      <w:r w:rsidRPr="00895C66">
        <w:rPr>
          <w:rFonts w:ascii="Times New Roman" w:hAnsi="Times New Roman" w:cs="Times New Roman"/>
          <w:sz w:val="28"/>
          <w:szCs w:val="28"/>
        </w:rPr>
        <w:t xml:space="preserve">: Публічне Акціонерне Товариство «АрселорМіттал Кривий Ріг» (ПАТ «АрселорМіттал Кривий Ріг») (далі - ПАТ «АМКР»). </w:t>
      </w:r>
      <w:bookmarkStart w:id="1" w:name="n116"/>
      <w:bookmarkEnd w:id="1"/>
    </w:p>
    <w:p w:rsidR="00FC5FAB" w:rsidRPr="00895C66" w:rsidRDefault="00FC5FAB" w:rsidP="00FC5FAB">
      <w:pPr>
        <w:pStyle w:val="a7"/>
        <w:widowControl w:val="0"/>
        <w:spacing w:after="0" w:line="240" w:lineRule="auto"/>
        <w:ind w:firstLine="708"/>
        <w:jc w:val="both"/>
        <w:rPr>
          <w:rFonts w:ascii="Times New Roman" w:hAnsi="Times New Roman" w:cs="Times New Roman"/>
          <w:sz w:val="28"/>
          <w:szCs w:val="28"/>
        </w:rPr>
      </w:pPr>
      <w:r w:rsidRPr="00895C66">
        <w:rPr>
          <w:rFonts w:ascii="Times New Roman" w:hAnsi="Times New Roman" w:cs="Times New Roman"/>
          <w:i/>
          <w:sz w:val="28"/>
          <w:szCs w:val="28"/>
        </w:rPr>
        <w:t>Ідентифікаційний код юридичної особи в Єдиному державному реєстрі підприємств та організацій України</w:t>
      </w:r>
      <w:r w:rsidRPr="00895C66">
        <w:rPr>
          <w:rFonts w:ascii="Times New Roman" w:hAnsi="Times New Roman" w:cs="Times New Roman"/>
          <w:sz w:val="28"/>
          <w:szCs w:val="28"/>
        </w:rPr>
        <w:t>: 24432974.</w:t>
      </w:r>
    </w:p>
    <w:p w:rsidR="00FC5FAB" w:rsidRPr="00895C66" w:rsidRDefault="00FC5FAB" w:rsidP="00FC5FAB">
      <w:pPr>
        <w:pStyle w:val="a7"/>
        <w:widowControl w:val="0"/>
        <w:spacing w:after="0" w:line="240" w:lineRule="auto"/>
        <w:ind w:firstLine="708"/>
        <w:jc w:val="both"/>
        <w:rPr>
          <w:rFonts w:ascii="Times New Roman" w:hAnsi="Times New Roman" w:cs="Times New Roman"/>
          <w:sz w:val="28"/>
          <w:szCs w:val="28"/>
        </w:rPr>
      </w:pPr>
      <w:bookmarkStart w:id="2" w:name="n118"/>
      <w:bookmarkEnd w:id="2"/>
      <w:r w:rsidRPr="00895C66">
        <w:rPr>
          <w:rFonts w:ascii="Times New Roman" w:hAnsi="Times New Roman" w:cs="Times New Roman"/>
          <w:i/>
          <w:sz w:val="28"/>
          <w:szCs w:val="28"/>
        </w:rPr>
        <w:t>Місцезнаходження суб’єкта господарювання, контактний номер телефону, адресу електронної пошти суб’єкта господарювання</w:t>
      </w:r>
      <w:r w:rsidRPr="00895C66">
        <w:rPr>
          <w:rFonts w:ascii="Times New Roman" w:hAnsi="Times New Roman" w:cs="Times New Roman"/>
          <w:sz w:val="28"/>
          <w:szCs w:val="28"/>
        </w:rPr>
        <w:t xml:space="preserve">: 50095, Дніпропетровська область, м. Кривий ріг, вул. Криворіжсталі (Орджонікідзе), 1. </w:t>
      </w:r>
      <w:proofErr w:type="spellStart"/>
      <w:r w:rsidRPr="00895C66">
        <w:rPr>
          <w:rFonts w:ascii="Times New Roman" w:hAnsi="Times New Roman" w:cs="Times New Roman"/>
          <w:sz w:val="28"/>
          <w:szCs w:val="28"/>
        </w:rPr>
        <w:t>тел</w:t>
      </w:r>
      <w:proofErr w:type="spellEnd"/>
      <w:r w:rsidRPr="00895C66">
        <w:rPr>
          <w:rFonts w:ascii="Times New Roman" w:hAnsi="Times New Roman" w:cs="Times New Roman"/>
          <w:sz w:val="28"/>
          <w:szCs w:val="28"/>
        </w:rPr>
        <w:t xml:space="preserve">. (056) 499-16-23 </w:t>
      </w:r>
      <w:proofErr w:type="spellStart"/>
      <w:r w:rsidRPr="00895C66">
        <w:rPr>
          <w:rFonts w:ascii="Times New Roman" w:hAnsi="Times New Roman" w:cs="Times New Roman"/>
          <w:sz w:val="28"/>
          <w:szCs w:val="28"/>
        </w:rPr>
        <w:t>тел</w:t>
      </w:r>
      <w:proofErr w:type="spellEnd"/>
      <w:r w:rsidRPr="00895C66">
        <w:rPr>
          <w:rFonts w:ascii="Times New Roman" w:hAnsi="Times New Roman" w:cs="Times New Roman"/>
          <w:sz w:val="28"/>
          <w:szCs w:val="28"/>
        </w:rPr>
        <w:t xml:space="preserve">./факс (056) 499-85-50, електронна пошта: </w:t>
      </w:r>
      <w:hyperlink r:id="rId4" w:history="1">
        <w:r w:rsidRPr="00895C66">
          <w:rPr>
            <w:rFonts w:ascii="Times New Roman" w:hAnsi="Times New Roman" w:cs="Times New Roman"/>
            <w:sz w:val="28"/>
            <w:szCs w:val="28"/>
          </w:rPr>
          <w:t>amkr@arсelormittal.com</w:t>
        </w:r>
      </w:hyperlink>
    </w:p>
    <w:p w:rsidR="00FC5FAB" w:rsidRPr="00895C66" w:rsidRDefault="00FC5FAB" w:rsidP="00FC5FAB">
      <w:pPr>
        <w:widowControl w:val="0"/>
        <w:spacing w:after="0" w:line="240" w:lineRule="auto"/>
        <w:ind w:left="-57" w:right="-57" w:firstLine="765"/>
        <w:jc w:val="both"/>
        <w:rPr>
          <w:rFonts w:ascii="Times New Roman" w:hAnsi="Times New Roman" w:cs="Times New Roman"/>
          <w:sz w:val="28"/>
          <w:szCs w:val="28"/>
        </w:rPr>
      </w:pPr>
      <w:r w:rsidRPr="00895C66">
        <w:rPr>
          <w:rFonts w:ascii="Times New Roman" w:hAnsi="Times New Roman" w:cs="Times New Roman"/>
          <w:i/>
          <w:sz w:val="28"/>
          <w:szCs w:val="28"/>
        </w:rPr>
        <w:t>Місцезнаходження об'єкта/промислового майданчика</w:t>
      </w:r>
      <w:r w:rsidRPr="00895C66">
        <w:rPr>
          <w:rFonts w:ascii="Times New Roman" w:hAnsi="Times New Roman" w:cs="Times New Roman"/>
          <w:sz w:val="28"/>
          <w:szCs w:val="28"/>
        </w:rPr>
        <w:t>: База відпочинку «</w:t>
      </w:r>
      <w:proofErr w:type="spellStart"/>
      <w:r w:rsidRPr="00895C66">
        <w:rPr>
          <w:rFonts w:ascii="Times New Roman" w:hAnsi="Times New Roman" w:cs="Times New Roman"/>
          <w:sz w:val="28"/>
          <w:szCs w:val="28"/>
        </w:rPr>
        <w:t>Мар’янівка</w:t>
      </w:r>
      <w:proofErr w:type="spellEnd"/>
      <w:r w:rsidRPr="00895C66">
        <w:rPr>
          <w:rFonts w:ascii="Times New Roman" w:hAnsi="Times New Roman" w:cs="Times New Roman"/>
          <w:sz w:val="28"/>
          <w:szCs w:val="28"/>
        </w:rPr>
        <w:t>» (далі - БВ «</w:t>
      </w:r>
      <w:proofErr w:type="spellStart"/>
      <w:r w:rsidRPr="00895C66">
        <w:rPr>
          <w:rFonts w:ascii="Times New Roman" w:hAnsi="Times New Roman" w:cs="Times New Roman"/>
          <w:sz w:val="28"/>
          <w:szCs w:val="28"/>
        </w:rPr>
        <w:t>Мар’янівка</w:t>
      </w:r>
      <w:proofErr w:type="spellEnd"/>
      <w:r w:rsidRPr="00895C66">
        <w:rPr>
          <w:rFonts w:ascii="Times New Roman" w:hAnsi="Times New Roman" w:cs="Times New Roman"/>
          <w:sz w:val="28"/>
          <w:szCs w:val="28"/>
        </w:rPr>
        <w:t xml:space="preserve">») Дніпропетровська область, Криворізький р-н, с. </w:t>
      </w:r>
      <w:proofErr w:type="spellStart"/>
      <w:r w:rsidRPr="00895C66">
        <w:rPr>
          <w:rFonts w:ascii="Times New Roman" w:hAnsi="Times New Roman" w:cs="Times New Roman"/>
          <w:sz w:val="28"/>
          <w:szCs w:val="28"/>
        </w:rPr>
        <w:t>Мар’янівка</w:t>
      </w:r>
      <w:proofErr w:type="spellEnd"/>
      <w:r w:rsidRPr="00895C66">
        <w:rPr>
          <w:rFonts w:ascii="Times New Roman" w:hAnsi="Times New Roman" w:cs="Times New Roman"/>
          <w:sz w:val="28"/>
          <w:szCs w:val="28"/>
        </w:rPr>
        <w:t>, вул. Пляжна, 4.</w:t>
      </w:r>
    </w:p>
    <w:p w:rsidR="00FC5FAB" w:rsidRPr="00895C66" w:rsidRDefault="00FC5FAB" w:rsidP="00FC5FAB">
      <w:pPr>
        <w:widowControl w:val="0"/>
        <w:suppressAutoHyphens/>
        <w:spacing w:after="0" w:line="240" w:lineRule="auto"/>
        <w:ind w:firstLine="709"/>
        <w:jc w:val="both"/>
        <w:rPr>
          <w:rFonts w:ascii="Times New Roman" w:hAnsi="Times New Roman" w:cs="Times New Roman"/>
          <w:sz w:val="28"/>
          <w:szCs w:val="28"/>
        </w:rPr>
      </w:pPr>
      <w:r w:rsidRPr="00895C66">
        <w:rPr>
          <w:rFonts w:ascii="Times New Roman" w:hAnsi="Times New Roman" w:cs="Times New Roman"/>
          <w:i/>
          <w:sz w:val="28"/>
          <w:szCs w:val="28"/>
        </w:rPr>
        <w:t>Мета отримання дозволу на викиди:</w:t>
      </w:r>
      <w:r w:rsidRPr="00895C66">
        <w:rPr>
          <w:rFonts w:ascii="Times New Roman" w:hAnsi="Times New Roman" w:cs="Times New Roman"/>
          <w:sz w:val="28"/>
          <w:szCs w:val="28"/>
        </w:rPr>
        <w:t xml:space="preserve"> внесення змін до існуючого дозволу на викиди № 1221800000-30 виданого 18.06.2015 року з необмеженим терміном дії, у зв’язку з: придбанням та встановленням генераторів, для забезпечення безперебійної роботи обладнання на випадок вимкнення електроенергії; відображенням змін що відбулися на підприємстві та на виконання вимог законодавства України.</w:t>
      </w:r>
    </w:p>
    <w:p w:rsidR="00FC5FAB" w:rsidRPr="00895C66" w:rsidRDefault="00FC5FAB" w:rsidP="00FC5FAB">
      <w:pPr>
        <w:widowControl w:val="0"/>
        <w:spacing w:after="0" w:line="240" w:lineRule="auto"/>
        <w:ind w:firstLine="709"/>
        <w:jc w:val="both"/>
        <w:rPr>
          <w:rFonts w:ascii="Times New Roman" w:hAnsi="Times New Roman" w:cs="Times New Roman"/>
          <w:sz w:val="28"/>
          <w:szCs w:val="28"/>
        </w:rPr>
      </w:pPr>
      <w:bookmarkStart w:id="3" w:name="n119"/>
      <w:bookmarkEnd w:id="3"/>
      <w:r w:rsidRPr="00895C66">
        <w:rPr>
          <w:rFonts w:ascii="Times New Roman" w:hAnsi="Times New Roman" w:cs="Times New Roman"/>
          <w:i/>
          <w:sz w:val="28"/>
          <w:szCs w:val="28"/>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hyperlink r:id="rId5" w:tgtFrame="_blank" w:history="1">
        <w:r w:rsidRPr="00895C66">
          <w:rPr>
            <w:rFonts w:ascii="Times New Roman" w:hAnsi="Times New Roman" w:cs="Times New Roman"/>
            <w:i/>
            <w:sz w:val="28"/>
            <w:szCs w:val="28"/>
          </w:rPr>
          <w:t>Закону України</w:t>
        </w:r>
      </w:hyperlink>
      <w:r w:rsidRPr="00895C66">
        <w:rPr>
          <w:rFonts w:ascii="Times New Roman" w:hAnsi="Times New Roman" w:cs="Times New Roman"/>
          <w:i/>
          <w:sz w:val="28"/>
          <w:szCs w:val="28"/>
        </w:rPr>
        <w:t> «Про оцінку впливу на довкілля» підлягає оцінці впливу на довкілля</w:t>
      </w:r>
      <w:r w:rsidRPr="00895C66">
        <w:rPr>
          <w:rFonts w:ascii="Times New Roman" w:hAnsi="Times New Roman" w:cs="Times New Roman"/>
          <w:sz w:val="28"/>
          <w:szCs w:val="28"/>
        </w:rPr>
        <w:t xml:space="preserve">: </w:t>
      </w:r>
      <w:r w:rsidR="00BE4EBC" w:rsidRPr="00895C66">
        <w:rPr>
          <w:rFonts w:ascii="Times New Roman" w:hAnsi="Times New Roman" w:cs="Times New Roman"/>
          <w:sz w:val="28"/>
          <w:szCs w:val="28"/>
        </w:rPr>
        <w:t xml:space="preserve">Діяльність, яка пов’язана зі змінами в Дозволі на викиди на </w:t>
      </w:r>
      <w:proofErr w:type="spellStart"/>
      <w:r w:rsidR="00BE4EBC" w:rsidRPr="00895C66">
        <w:rPr>
          <w:rFonts w:ascii="Times New Roman" w:hAnsi="Times New Roman" w:cs="Times New Roman"/>
          <w:sz w:val="28"/>
          <w:szCs w:val="28"/>
        </w:rPr>
        <w:t>проммайданчику</w:t>
      </w:r>
      <w:proofErr w:type="spellEnd"/>
      <w:r w:rsidR="00BE4EBC" w:rsidRPr="00895C66">
        <w:rPr>
          <w:rFonts w:ascii="Times New Roman" w:hAnsi="Times New Roman" w:cs="Times New Roman"/>
          <w:sz w:val="28"/>
          <w:szCs w:val="28"/>
        </w:rPr>
        <w:t xml:space="preserve"> № 5 </w:t>
      </w:r>
      <w:r w:rsidRPr="00895C66">
        <w:rPr>
          <w:rFonts w:ascii="Times New Roman" w:hAnsi="Times New Roman" w:cs="Times New Roman"/>
          <w:sz w:val="28"/>
          <w:szCs w:val="28"/>
        </w:rPr>
        <w:t>База відпочинку «</w:t>
      </w:r>
      <w:proofErr w:type="spellStart"/>
      <w:r w:rsidRPr="00895C66">
        <w:rPr>
          <w:rFonts w:ascii="Times New Roman" w:hAnsi="Times New Roman" w:cs="Times New Roman"/>
          <w:sz w:val="28"/>
          <w:szCs w:val="28"/>
        </w:rPr>
        <w:t>Мар’янівка</w:t>
      </w:r>
      <w:proofErr w:type="spellEnd"/>
      <w:r w:rsidRPr="00895C66">
        <w:rPr>
          <w:rFonts w:ascii="Times New Roman" w:hAnsi="Times New Roman" w:cs="Times New Roman"/>
          <w:sz w:val="28"/>
          <w:szCs w:val="28"/>
        </w:rPr>
        <w:t xml:space="preserve">» (далі - </w:t>
      </w:r>
      <w:proofErr w:type="spellStart"/>
      <w:r w:rsidRPr="00895C66">
        <w:rPr>
          <w:rFonts w:ascii="Times New Roman" w:hAnsi="Times New Roman" w:cs="Times New Roman"/>
          <w:sz w:val="28"/>
          <w:szCs w:val="28"/>
        </w:rPr>
        <w:t>проммайданчик</w:t>
      </w:r>
      <w:proofErr w:type="spellEnd"/>
      <w:r w:rsidRPr="00895C66">
        <w:rPr>
          <w:rFonts w:ascii="Times New Roman" w:hAnsi="Times New Roman" w:cs="Times New Roman"/>
          <w:sz w:val="28"/>
          <w:szCs w:val="28"/>
        </w:rPr>
        <w:t xml:space="preserve"> № 5) не відносяться до першої та другої категорій видів планованої діяльності та об’єктів, які можуть мати значний вплив на довкілля, тому не підпадають під сферу застосування оцінки впливу на довкілля, і відповідно, під дію Закону України «Про оцінку впливу на довкілля».</w:t>
      </w:r>
    </w:p>
    <w:p w:rsidR="00FC5FAB" w:rsidRPr="00895C66" w:rsidRDefault="00FC5FAB" w:rsidP="00FC5FAB">
      <w:pPr>
        <w:widowControl w:val="0"/>
        <w:spacing w:after="0" w:line="240" w:lineRule="auto"/>
        <w:ind w:firstLine="709"/>
        <w:jc w:val="both"/>
        <w:rPr>
          <w:rFonts w:ascii="Times New Roman" w:hAnsi="Times New Roman" w:cs="Times New Roman"/>
          <w:sz w:val="28"/>
          <w:szCs w:val="28"/>
        </w:rPr>
      </w:pPr>
      <w:bookmarkStart w:id="4" w:name="n120"/>
      <w:bookmarkEnd w:id="4"/>
      <w:r w:rsidRPr="00895C66">
        <w:rPr>
          <w:rFonts w:ascii="Times New Roman" w:hAnsi="Times New Roman" w:cs="Times New Roman"/>
          <w:i/>
          <w:sz w:val="28"/>
          <w:szCs w:val="28"/>
        </w:rPr>
        <w:t>Загальний опис об’єкта (опис виробництв та технологічного устаткування):</w:t>
      </w:r>
      <w:r w:rsidRPr="00895C66">
        <w:rPr>
          <w:rFonts w:ascii="Times New Roman" w:hAnsi="Times New Roman" w:cs="Times New Roman"/>
          <w:sz w:val="28"/>
          <w:szCs w:val="28"/>
        </w:rPr>
        <w:t xml:space="preserve"> БВ «</w:t>
      </w:r>
      <w:proofErr w:type="spellStart"/>
      <w:r w:rsidRPr="00895C66">
        <w:rPr>
          <w:rFonts w:ascii="Times New Roman" w:hAnsi="Times New Roman" w:cs="Times New Roman"/>
          <w:sz w:val="28"/>
          <w:szCs w:val="28"/>
        </w:rPr>
        <w:t>Мар’янівка</w:t>
      </w:r>
      <w:proofErr w:type="spellEnd"/>
      <w:r w:rsidRPr="00895C66">
        <w:rPr>
          <w:rFonts w:ascii="Times New Roman" w:hAnsi="Times New Roman" w:cs="Times New Roman"/>
          <w:sz w:val="28"/>
          <w:szCs w:val="28"/>
        </w:rPr>
        <w:t>» призначена для забезпечення якісного відпочинку та оздоровлення працівників ПАТ «АМКР» та членів їх сімей. На території БВ «</w:t>
      </w:r>
      <w:proofErr w:type="spellStart"/>
      <w:r w:rsidRPr="00895C66">
        <w:rPr>
          <w:rFonts w:ascii="Times New Roman" w:hAnsi="Times New Roman" w:cs="Times New Roman"/>
          <w:sz w:val="28"/>
          <w:szCs w:val="28"/>
        </w:rPr>
        <w:t>Мар’янівка</w:t>
      </w:r>
      <w:proofErr w:type="spellEnd"/>
      <w:r w:rsidRPr="00895C66">
        <w:rPr>
          <w:rFonts w:ascii="Times New Roman" w:hAnsi="Times New Roman" w:cs="Times New Roman"/>
          <w:sz w:val="28"/>
          <w:szCs w:val="28"/>
        </w:rPr>
        <w:t xml:space="preserve">» знаходяться зварювальний, фарбувальний пост та генератор. </w:t>
      </w:r>
      <w:r w:rsidRPr="00895C66">
        <w:rPr>
          <w:rFonts w:ascii="Times New Roman" w:hAnsi="Times New Roman" w:cs="Times New Roman"/>
          <w:bCs/>
          <w:sz w:val="28"/>
          <w:szCs w:val="28"/>
        </w:rPr>
        <w:t xml:space="preserve">Фарбування та зварювання призначено для дрібних ремонтних робіт на території бази </w:t>
      </w:r>
      <w:r w:rsidRPr="00895C66">
        <w:rPr>
          <w:rFonts w:ascii="Times New Roman" w:hAnsi="Times New Roman" w:cs="Times New Roman"/>
          <w:sz w:val="28"/>
          <w:szCs w:val="28"/>
        </w:rPr>
        <w:t>відпочинку</w:t>
      </w:r>
      <w:r w:rsidRPr="00895C66">
        <w:rPr>
          <w:rFonts w:ascii="Times New Roman" w:hAnsi="Times New Roman" w:cs="Times New Roman"/>
          <w:bCs/>
          <w:sz w:val="28"/>
          <w:szCs w:val="28"/>
        </w:rPr>
        <w:t>. Генератор призначений для забезпечення аварійного електропостачання фекальної насосної станції. Більш детальний опис промислового об’єкта, виробництва та технологічного устаткування наведено в «Інформації про отримання дозволу на викиди для ознайомлення з нею громадськості».</w:t>
      </w:r>
    </w:p>
    <w:p w:rsidR="00FC5FAB" w:rsidRPr="00895C66" w:rsidRDefault="00FC5FAB" w:rsidP="00FC5FAB">
      <w:pPr>
        <w:widowControl w:val="0"/>
        <w:spacing w:after="0" w:line="240" w:lineRule="auto"/>
        <w:ind w:firstLine="709"/>
        <w:jc w:val="both"/>
        <w:rPr>
          <w:rFonts w:ascii="Times New Roman" w:hAnsi="Times New Roman" w:cs="Times New Roman"/>
          <w:bCs/>
          <w:sz w:val="28"/>
          <w:szCs w:val="28"/>
        </w:rPr>
      </w:pPr>
      <w:bookmarkStart w:id="5" w:name="n121"/>
      <w:bookmarkEnd w:id="5"/>
      <w:r w:rsidRPr="00895C66">
        <w:rPr>
          <w:rFonts w:ascii="Times New Roman" w:hAnsi="Times New Roman" w:cs="Times New Roman"/>
          <w:i/>
          <w:sz w:val="28"/>
          <w:szCs w:val="28"/>
        </w:rPr>
        <w:t>Відомості щодо видів та обсягів викидів:</w:t>
      </w:r>
      <w:r w:rsidRPr="00895C66">
        <w:rPr>
          <w:rFonts w:ascii="Times New Roman" w:hAnsi="Times New Roman" w:cs="Times New Roman"/>
          <w:sz w:val="28"/>
          <w:szCs w:val="28"/>
        </w:rPr>
        <w:t xml:space="preserve"> </w:t>
      </w:r>
      <w:r w:rsidRPr="00895C66">
        <w:rPr>
          <w:rFonts w:ascii="Times New Roman" w:hAnsi="Times New Roman" w:cs="Times New Roman"/>
          <w:bCs/>
          <w:sz w:val="28"/>
          <w:szCs w:val="28"/>
        </w:rPr>
        <w:t xml:space="preserve">Викиди забруднюючих речовин в атмосферне повітря від виробничої діяльності </w:t>
      </w:r>
      <w:r w:rsidRPr="00895C66">
        <w:rPr>
          <w:rFonts w:ascii="Times New Roman" w:hAnsi="Times New Roman" w:cs="Times New Roman"/>
          <w:sz w:val="28"/>
          <w:szCs w:val="28"/>
        </w:rPr>
        <w:t>БВ «</w:t>
      </w:r>
      <w:proofErr w:type="spellStart"/>
      <w:r w:rsidRPr="00895C66">
        <w:rPr>
          <w:rFonts w:ascii="Times New Roman" w:hAnsi="Times New Roman" w:cs="Times New Roman"/>
          <w:sz w:val="28"/>
          <w:szCs w:val="28"/>
        </w:rPr>
        <w:t>Мар’янівка</w:t>
      </w:r>
      <w:proofErr w:type="spellEnd"/>
      <w:r w:rsidRPr="00895C66">
        <w:rPr>
          <w:rFonts w:ascii="Times New Roman" w:hAnsi="Times New Roman" w:cs="Times New Roman"/>
          <w:sz w:val="28"/>
          <w:szCs w:val="28"/>
        </w:rPr>
        <w:t xml:space="preserve">» </w:t>
      </w:r>
      <w:r w:rsidRPr="00895C66">
        <w:rPr>
          <w:rFonts w:ascii="Times New Roman" w:hAnsi="Times New Roman" w:cs="Times New Roman"/>
          <w:bCs/>
          <w:sz w:val="28"/>
          <w:szCs w:val="28"/>
        </w:rPr>
        <w:t xml:space="preserve">складають близько 1,558 тон, без врахування викидів парникових газів, та </w:t>
      </w:r>
      <w:r w:rsidRPr="00895C66">
        <w:rPr>
          <w:rFonts w:ascii="Times New Roman" w:hAnsi="Times New Roman" w:cs="Times New Roman"/>
          <w:bCs/>
          <w:sz w:val="28"/>
          <w:szCs w:val="28"/>
        </w:rPr>
        <w:lastRenderedPageBreak/>
        <w:t xml:space="preserve">містять основні забруднюючі речовини: неметанові леткі органічні сполуки – близько 0,912 т/рік (58,53% від загальних викидів </w:t>
      </w:r>
      <w:proofErr w:type="spellStart"/>
      <w:r w:rsidRPr="00895C66">
        <w:rPr>
          <w:rFonts w:ascii="Times New Roman" w:hAnsi="Times New Roman" w:cs="Times New Roman"/>
          <w:sz w:val="28"/>
          <w:szCs w:val="28"/>
        </w:rPr>
        <w:t>проммайданчика</w:t>
      </w:r>
      <w:proofErr w:type="spellEnd"/>
      <w:r w:rsidRPr="00895C66">
        <w:rPr>
          <w:rFonts w:ascii="Times New Roman" w:hAnsi="Times New Roman" w:cs="Times New Roman"/>
          <w:sz w:val="28"/>
          <w:szCs w:val="28"/>
        </w:rPr>
        <w:t xml:space="preserve"> </w:t>
      </w:r>
      <w:r w:rsidRPr="00895C66">
        <w:rPr>
          <w:rFonts w:ascii="Times New Roman" w:hAnsi="Times New Roman" w:cs="Times New Roman"/>
          <w:bCs/>
          <w:sz w:val="28"/>
          <w:szCs w:val="28"/>
        </w:rPr>
        <w:t xml:space="preserve">№ 5), речовини у вигляді суспендованих твердих частинок недиференційованих за складом – близько 0,322 т/рік (20,67% від загальних викидів </w:t>
      </w:r>
      <w:proofErr w:type="spellStart"/>
      <w:r w:rsidRPr="00895C66">
        <w:rPr>
          <w:rFonts w:ascii="Times New Roman" w:hAnsi="Times New Roman" w:cs="Times New Roman"/>
          <w:sz w:val="28"/>
          <w:szCs w:val="28"/>
        </w:rPr>
        <w:t>проммайданчика</w:t>
      </w:r>
      <w:proofErr w:type="spellEnd"/>
      <w:r w:rsidRPr="00895C66">
        <w:rPr>
          <w:rFonts w:ascii="Times New Roman" w:hAnsi="Times New Roman" w:cs="Times New Roman"/>
          <w:sz w:val="28"/>
          <w:szCs w:val="28"/>
        </w:rPr>
        <w:t xml:space="preserve"> </w:t>
      </w:r>
      <w:r w:rsidRPr="00895C66">
        <w:rPr>
          <w:rFonts w:ascii="Times New Roman" w:hAnsi="Times New Roman" w:cs="Times New Roman"/>
          <w:bCs/>
          <w:sz w:val="28"/>
          <w:szCs w:val="28"/>
        </w:rPr>
        <w:t xml:space="preserve">№ 5), сполуки азоту – близько 0,301 т/рік (19,31% від загальних викидів </w:t>
      </w:r>
      <w:proofErr w:type="spellStart"/>
      <w:r w:rsidRPr="00895C66">
        <w:rPr>
          <w:rFonts w:ascii="Times New Roman" w:hAnsi="Times New Roman" w:cs="Times New Roman"/>
          <w:sz w:val="28"/>
          <w:szCs w:val="28"/>
        </w:rPr>
        <w:t>проммайданчика</w:t>
      </w:r>
      <w:proofErr w:type="spellEnd"/>
      <w:r w:rsidRPr="00895C66">
        <w:rPr>
          <w:rFonts w:ascii="Times New Roman" w:hAnsi="Times New Roman" w:cs="Times New Roman"/>
          <w:sz w:val="28"/>
          <w:szCs w:val="28"/>
        </w:rPr>
        <w:t xml:space="preserve"> </w:t>
      </w:r>
      <w:r w:rsidRPr="00895C66">
        <w:rPr>
          <w:rFonts w:ascii="Times New Roman" w:hAnsi="Times New Roman" w:cs="Times New Roman"/>
          <w:bCs/>
          <w:sz w:val="28"/>
          <w:szCs w:val="28"/>
        </w:rPr>
        <w:t xml:space="preserve">№ 5), оксид вуглецю – близько 0,014 т/рік (0,9% від загальних викидів </w:t>
      </w:r>
      <w:proofErr w:type="spellStart"/>
      <w:r w:rsidRPr="00895C66">
        <w:rPr>
          <w:rFonts w:ascii="Times New Roman" w:hAnsi="Times New Roman" w:cs="Times New Roman"/>
          <w:sz w:val="28"/>
          <w:szCs w:val="28"/>
        </w:rPr>
        <w:t>проммайданчика</w:t>
      </w:r>
      <w:proofErr w:type="spellEnd"/>
      <w:r w:rsidRPr="00895C66">
        <w:rPr>
          <w:rFonts w:ascii="Times New Roman" w:hAnsi="Times New Roman" w:cs="Times New Roman"/>
          <w:sz w:val="28"/>
          <w:szCs w:val="28"/>
        </w:rPr>
        <w:t xml:space="preserve"> </w:t>
      </w:r>
      <w:r w:rsidRPr="00895C66">
        <w:rPr>
          <w:rFonts w:ascii="Times New Roman" w:hAnsi="Times New Roman" w:cs="Times New Roman"/>
          <w:bCs/>
          <w:sz w:val="28"/>
          <w:szCs w:val="28"/>
        </w:rPr>
        <w:t xml:space="preserve">№ 5), діоксид сірки (діоксид та триоксид) – близько 0,008 т/рік (0,51% від загальних викидів </w:t>
      </w:r>
      <w:proofErr w:type="spellStart"/>
      <w:r w:rsidRPr="00895C66">
        <w:rPr>
          <w:rFonts w:ascii="Times New Roman" w:hAnsi="Times New Roman" w:cs="Times New Roman"/>
          <w:sz w:val="28"/>
          <w:szCs w:val="28"/>
        </w:rPr>
        <w:t>проммайданчика</w:t>
      </w:r>
      <w:proofErr w:type="spellEnd"/>
      <w:r w:rsidRPr="00895C66">
        <w:rPr>
          <w:rFonts w:ascii="Times New Roman" w:hAnsi="Times New Roman" w:cs="Times New Roman"/>
          <w:sz w:val="28"/>
          <w:szCs w:val="28"/>
        </w:rPr>
        <w:t xml:space="preserve"> </w:t>
      </w:r>
      <w:r w:rsidRPr="00895C66">
        <w:rPr>
          <w:rFonts w:ascii="Times New Roman" w:hAnsi="Times New Roman" w:cs="Times New Roman"/>
          <w:bCs/>
          <w:sz w:val="28"/>
          <w:szCs w:val="28"/>
        </w:rPr>
        <w:t xml:space="preserve">№ 5), метан – близько 0,001 т/рік (0,06% від загальних викидів </w:t>
      </w:r>
      <w:proofErr w:type="spellStart"/>
      <w:r w:rsidRPr="00895C66">
        <w:rPr>
          <w:rFonts w:ascii="Times New Roman" w:hAnsi="Times New Roman" w:cs="Times New Roman"/>
          <w:sz w:val="28"/>
          <w:szCs w:val="28"/>
        </w:rPr>
        <w:t>проммайданчика</w:t>
      </w:r>
      <w:proofErr w:type="spellEnd"/>
      <w:r w:rsidRPr="00895C66">
        <w:rPr>
          <w:rFonts w:ascii="Times New Roman" w:hAnsi="Times New Roman" w:cs="Times New Roman"/>
          <w:sz w:val="28"/>
          <w:szCs w:val="28"/>
        </w:rPr>
        <w:t xml:space="preserve"> </w:t>
      </w:r>
      <w:r w:rsidRPr="00895C66">
        <w:rPr>
          <w:rFonts w:ascii="Times New Roman" w:hAnsi="Times New Roman" w:cs="Times New Roman"/>
          <w:bCs/>
          <w:sz w:val="28"/>
          <w:szCs w:val="28"/>
        </w:rPr>
        <w:t xml:space="preserve">№ 5), метали та їх сполуки – близько 0,0003 т/рік (0,02% від загальних викидів </w:t>
      </w:r>
      <w:proofErr w:type="spellStart"/>
      <w:r w:rsidRPr="00895C66">
        <w:rPr>
          <w:rFonts w:ascii="Times New Roman" w:hAnsi="Times New Roman" w:cs="Times New Roman"/>
          <w:sz w:val="28"/>
          <w:szCs w:val="28"/>
        </w:rPr>
        <w:t>проммайданчика</w:t>
      </w:r>
      <w:proofErr w:type="spellEnd"/>
      <w:r w:rsidRPr="00895C66">
        <w:rPr>
          <w:rFonts w:ascii="Times New Roman" w:hAnsi="Times New Roman" w:cs="Times New Roman"/>
          <w:sz w:val="28"/>
          <w:szCs w:val="28"/>
        </w:rPr>
        <w:t xml:space="preserve"> </w:t>
      </w:r>
      <w:r w:rsidRPr="00895C66">
        <w:rPr>
          <w:rFonts w:ascii="Times New Roman" w:hAnsi="Times New Roman" w:cs="Times New Roman"/>
          <w:bCs/>
          <w:sz w:val="28"/>
          <w:szCs w:val="28"/>
        </w:rPr>
        <w:t>№ 5) та парникові гази. Більш детальні відомості щодо видів та обсягів викидів забруднюючих речовин наведено в «Інформації про отримання дозволу на викиди для ознайомлення з нею громадськості».</w:t>
      </w:r>
    </w:p>
    <w:p w:rsidR="00FC5FAB" w:rsidRPr="00895C66" w:rsidRDefault="00FC5FAB" w:rsidP="00FC5FAB">
      <w:pPr>
        <w:pStyle w:val="a5"/>
        <w:tabs>
          <w:tab w:val="left" w:pos="5963"/>
        </w:tabs>
        <w:spacing w:before="0" w:line="240" w:lineRule="auto"/>
        <w:ind w:firstLine="709"/>
        <w:rPr>
          <w:bCs/>
          <w:sz w:val="28"/>
          <w:szCs w:val="28"/>
        </w:rPr>
      </w:pPr>
      <w:bookmarkStart w:id="6" w:name="n122"/>
      <w:bookmarkEnd w:id="6"/>
      <w:r w:rsidRPr="00895C66">
        <w:rPr>
          <w:i/>
          <w:sz w:val="28"/>
          <w:szCs w:val="28"/>
        </w:rPr>
        <w:t>Заходи щодо впровадження найкращих існуючих технологій виробництва, що виконані або/та які потребують виконання</w:t>
      </w:r>
      <w:r w:rsidRPr="00895C66">
        <w:rPr>
          <w:sz w:val="28"/>
          <w:szCs w:val="28"/>
        </w:rPr>
        <w:t xml:space="preserve">: </w:t>
      </w:r>
      <w:r w:rsidRPr="00895C66">
        <w:rPr>
          <w:rStyle w:val="hps"/>
          <w:rFonts w:eastAsiaTheme="majorEastAsia"/>
          <w:sz w:val="28"/>
          <w:szCs w:val="28"/>
        </w:rPr>
        <w:t>Технологічне обладнання, яке знаходиться на території промислового майданчика, відповідно до переліку виробництв та технологічного устаткування, не відноситься до переліку обладнання де повинно впроваджуватися найкращі доступні технології та методи керування.</w:t>
      </w:r>
      <w:r w:rsidRPr="00895C66">
        <w:rPr>
          <w:bCs/>
          <w:sz w:val="28"/>
          <w:szCs w:val="28"/>
        </w:rPr>
        <w:t xml:space="preserve"> Заходи щодо впровадження найкращих існуючих технологій виробництва існуючим дозволом на викиди не передбачені.</w:t>
      </w:r>
    </w:p>
    <w:p w:rsidR="00FC5FAB" w:rsidRPr="00895C66" w:rsidRDefault="00FC5FAB" w:rsidP="00FC5FAB">
      <w:pPr>
        <w:widowControl w:val="0"/>
        <w:adjustRightInd w:val="0"/>
        <w:spacing w:after="0" w:line="240" w:lineRule="auto"/>
        <w:ind w:firstLine="709"/>
        <w:jc w:val="both"/>
        <w:rPr>
          <w:rStyle w:val="hps"/>
          <w:rFonts w:ascii="Times New Roman" w:eastAsiaTheme="majorEastAsia" w:hAnsi="Times New Roman"/>
          <w:sz w:val="28"/>
          <w:szCs w:val="28"/>
          <w:lang w:eastAsia="ru-RU"/>
        </w:rPr>
      </w:pPr>
      <w:bookmarkStart w:id="7" w:name="n123"/>
      <w:bookmarkStart w:id="8" w:name="n125"/>
      <w:bookmarkEnd w:id="7"/>
      <w:bookmarkEnd w:id="8"/>
      <w:r w:rsidRPr="00895C66">
        <w:rPr>
          <w:rFonts w:ascii="Times New Roman" w:eastAsia="Times New Roman" w:hAnsi="Times New Roman" w:cs="Times New Roman"/>
          <w:i/>
          <w:sz w:val="28"/>
          <w:szCs w:val="28"/>
          <w:lang w:eastAsia="ru-RU"/>
        </w:rPr>
        <w:t xml:space="preserve">Перелік заходів щодо скорочення викидів, що виконані або/та які потребують виконання: </w:t>
      </w:r>
      <w:proofErr w:type="spellStart"/>
      <w:r w:rsidRPr="00895C66">
        <w:rPr>
          <w:rStyle w:val="hps"/>
          <w:rFonts w:ascii="Times New Roman" w:eastAsiaTheme="majorEastAsia" w:hAnsi="Times New Roman"/>
          <w:sz w:val="28"/>
          <w:szCs w:val="28"/>
          <w:lang w:eastAsia="ru-RU"/>
        </w:rPr>
        <w:t>Проммайданчик</w:t>
      </w:r>
      <w:proofErr w:type="spellEnd"/>
      <w:r w:rsidRPr="00895C66">
        <w:rPr>
          <w:rStyle w:val="hps"/>
          <w:rFonts w:ascii="Times New Roman" w:eastAsiaTheme="majorEastAsia" w:hAnsi="Times New Roman"/>
          <w:sz w:val="28"/>
          <w:szCs w:val="28"/>
          <w:lang w:eastAsia="ru-RU"/>
        </w:rPr>
        <w:t xml:space="preserve"> № 5 відноситься до третьої групи. Заходи щодо скорочення викидів існуючим дозволом на викиди не передбачені. </w:t>
      </w:r>
    </w:p>
    <w:p w:rsidR="00FC5FAB" w:rsidRPr="00895C66" w:rsidRDefault="00FC5FAB" w:rsidP="00FC5FAB">
      <w:pPr>
        <w:pStyle w:val="a5"/>
        <w:tabs>
          <w:tab w:val="left" w:pos="5963"/>
        </w:tabs>
        <w:spacing w:before="0" w:line="240" w:lineRule="auto"/>
        <w:ind w:firstLine="709"/>
        <w:rPr>
          <w:sz w:val="28"/>
          <w:szCs w:val="28"/>
          <w:lang w:eastAsia="uk-UA"/>
        </w:rPr>
      </w:pPr>
      <w:r w:rsidRPr="00895C66">
        <w:rPr>
          <w:sz w:val="28"/>
          <w:szCs w:val="28"/>
          <w:lang w:eastAsia="uk-UA"/>
        </w:rPr>
        <w:t xml:space="preserve">Викиди забруднюючих речовин на стаціонарних джерелах не перевищують встановлені гранично допустимі викиди, тому </w:t>
      </w:r>
      <w:r w:rsidRPr="00895C66">
        <w:rPr>
          <w:i/>
          <w:sz w:val="28"/>
          <w:szCs w:val="28"/>
          <w:lang w:eastAsia="uk-UA"/>
        </w:rPr>
        <w:t>заходи щодо досягнення встановлених нормативів гранично допустимих викидів для найбільш поширених і небезпечних забруднюючих речовин</w:t>
      </w:r>
      <w:r w:rsidRPr="00895C66">
        <w:rPr>
          <w:sz w:val="28"/>
          <w:szCs w:val="28"/>
          <w:lang w:eastAsia="uk-UA"/>
        </w:rPr>
        <w:t xml:space="preserve"> та </w:t>
      </w:r>
      <w:r w:rsidRPr="00895C66">
        <w:rPr>
          <w:i/>
          <w:sz w:val="28"/>
          <w:szCs w:val="28"/>
          <w:lang w:eastAsia="uk-UA"/>
        </w:rPr>
        <w:t>з</w:t>
      </w:r>
      <w:r w:rsidRPr="00895C66">
        <w:rPr>
          <w:i/>
          <w:sz w:val="28"/>
          <w:szCs w:val="28"/>
        </w:rPr>
        <w:t>аходи щодо запобігання перевищенню встановлених нормативів гранично допустимих викидів у процесі виробництва,</w:t>
      </w:r>
      <w:r w:rsidRPr="00895C66">
        <w:rPr>
          <w:sz w:val="28"/>
          <w:szCs w:val="28"/>
        </w:rPr>
        <w:t xml:space="preserve"> або будь-які </w:t>
      </w:r>
      <w:r w:rsidRPr="00895C66">
        <w:rPr>
          <w:i/>
          <w:sz w:val="28"/>
          <w:szCs w:val="28"/>
        </w:rPr>
        <w:t>інші заходи, направлені на скорочення викидів забруднюючих речовин в атмосферне повітря, в залежності від виробництв, технологічного устаткування</w:t>
      </w:r>
      <w:r w:rsidRPr="00895C66">
        <w:rPr>
          <w:sz w:val="28"/>
          <w:szCs w:val="28"/>
        </w:rPr>
        <w:t xml:space="preserve"> не встановлюються. Джерела залпових викидів відсутні, тому </w:t>
      </w:r>
      <w:r w:rsidRPr="00895C66">
        <w:rPr>
          <w:i/>
          <w:sz w:val="28"/>
          <w:szCs w:val="28"/>
        </w:rPr>
        <w:t>заходи щодо обмеження обсягів залпових викидів забруднюючих речовин в атмосферне повітря</w:t>
      </w:r>
      <w:r w:rsidRPr="00895C66">
        <w:rPr>
          <w:sz w:val="28"/>
          <w:szCs w:val="28"/>
        </w:rPr>
        <w:t xml:space="preserve"> не встановлюються. Ліквідації </w:t>
      </w:r>
      <w:proofErr w:type="spellStart"/>
      <w:r w:rsidRPr="00895C66">
        <w:rPr>
          <w:sz w:val="28"/>
          <w:szCs w:val="28"/>
        </w:rPr>
        <w:t>проммайданчика</w:t>
      </w:r>
      <w:proofErr w:type="spellEnd"/>
      <w:r w:rsidRPr="00895C66">
        <w:rPr>
          <w:sz w:val="28"/>
          <w:szCs w:val="28"/>
        </w:rPr>
        <w:t xml:space="preserve"> не передбачено, тому </w:t>
      </w:r>
      <w:r w:rsidRPr="00895C66">
        <w:rPr>
          <w:i/>
          <w:sz w:val="28"/>
          <w:szCs w:val="28"/>
        </w:rPr>
        <w:t>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w:t>
      </w:r>
      <w:r w:rsidRPr="00895C66">
        <w:rPr>
          <w:sz w:val="28"/>
          <w:szCs w:val="28"/>
        </w:rPr>
        <w:t xml:space="preserve"> не встановлюються. Д</w:t>
      </w:r>
      <w:r w:rsidRPr="00895C66">
        <w:rPr>
          <w:sz w:val="28"/>
          <w:szCs w:val="28"/>
          <w:lang w:eastAsia="uk-UA"/>
        </w:rPr>
        <w:t xml:space="preserve">іяльність, яка відбувається на </w:t>
      </w:r>
      <w:proofErr w:type="spellStart"/>
      <w:r w:rsidRPr="00895C66">
        <w:rPr>
          <w:sz w:val="28"/>
          <w:szCs w:val="28"/>
          <w:lang w:eastAsia="uk-UA"/>
        </w:rPr>
        <w:t>проммайданчику</w:t>
      </w:r>
      <w:proofErr w:type="spellEnd"/>
      <w:r w:rsidRPr="00895C66">
        <w:rPr>
          <w:sz w:val="28"/>
          <w:szCs w:val="28"/>
          <w:lang w:eastAsia="uk-UA"/>
        </w:rPr>
        <w:t xml:space="preserve"> не віднесені до об’єктів підвищеної небезпеки, тому </w:t>
      </w:r>
      <w:r w:rsidRPr="00895C66">
        <w:rPr>
          <w:i/>
          <w:sz w:val="28"/>
          <w:szCs w:val="28"/>
          <w:lang w:eastAsia="uk-UA"/>
        </w:rPr>
        <w:t>заходи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повітряне</w:t>
      </w:r>
      <w:r w:rsidRPr="00895C66">
        <w:rPr>
          <w:sz w:val="28"/>
          <w:szCs w:val="28"/>
          <w:lang w:eastAsia="uk-UA"/>
        </w:rPr>
        <w:t xml:space="preserve"> не встановлюються. Розрахункові концентрації на межі СЗЗ </w:t>
      </w:r>
      <w:proofErr w:type="spellStart"/>
      <w:r w:rsidRPr="00895C66">
        <w:rPr>
          <w:sz w:val="28"/>
          <w:szCs w:val="28"/>
          <w:lang w:eastAsia="uk-UA"/>
        </w:rPr>
        <w:t>проммайданчика</w:t>
      </w:r>
      <w:proofErr w:type="spellEnd"/>
      <w:r w:rsidRPr="00895C66">
        <w:rPr>
          <w:sz w:val="28"/>
          <w:szCs w:val="28"/>
          <w:lang w:eastAsia="uk-UA"/>
        </w:rPr>
        <w:t xml:space="preserve"> та найближчої житлової забудови не перевищують встановлені нормативи екологічної </w:t>
      </w:r>
      <w:r w:rsidRPr="00895C66">
        <w:rPr>
          <w:sz w:val="28"/>
          <w:szCs w:val="28"/>
          <w:lang w:eastAsia="uk-UA"/>
        </w:rPr>
        <w:lastRenderedPageBreak/>
        <w:t xml:space="preserve">безпеки в приземному шарі атмосфери та викиди забруднюючих речовин не створюють суттєвого впливу на атмосферне повітря. Також на території впливу </w:t>
      </w:r>
      <w:proofErr w:type="spellStart"/>
      <w:r w:rsidRPr="00895C66">
        <w:rPr>
          <w:sz w:val="28"/>
          <w:szCs w:val="28"/>
          <w:lang w:eastAsia="uk-UA"/>
        </w:rPr>
        <w:t>проммайданчика</w:t>
      </w:r>
      <w:proofErr w:type="spellEnd"/>
      <w:r w:rsidRPr="00895C66">
        <w:rPr>
          <w:sz w:val="28"/>
          <w:szCs w:val="28"/>
          <w:lang w:eastAsia="uk-UA"/>
        </w:rPr>
        <w:t xml:space="preserve"> не має постів спостереження регіональних центрів з гідрометеорології, які формують попередження про НМУ. Тому розробка </w:t>
      </w:r>
      <w:r w:rsidRPr="00895C66">
        <w:rPr>
          <w:i/>
          <w:sz w:val="28"/>
          <w:szCs w:val="28"/>
          <w:lang w:eastAsia="uk-UA"/>
        </w:rPr>
        <w:t>заходів щодо охорони атмосферного повітря при несприятливих метеорологічних умовах</w:t>
      </w:r>
      <w:r w:rsidRPr="00895C66">
        <w:rPr>
          <w:sz w:val="28"/>
          <w:szCs w:val="28"/>
          <w:lang w:eastAsia="uk-UA"/>
        </w:rPr>
        <w:t xml:space="preserve"> є не доцільним.</w:t>
      </w:r>
    </w:p>
    <w:p w:rsidR="00FC5FAB" w:rsidRPr="00895C66" w:rsidRDefault="00FC5FAB" w:rsidP="00FC5FAB">
      <w:pPr>
        <w:widowControl w:val="0"/>
        <w:adjustRightInd w:val="0"/>
        <w:spacing w:after="0" w:line="240" w:lineRule="auto"/>
        <w:ind w:firstLine="709"/>
        <w:jc w:val="both"/>
        <w:rPr>
          <w:rStyle w:val="hps"/>
          <w:rFonts w:ascii="Times New Roman" w:eastAsiaTheme="majorEastAsia" w:hAnsi="Times New Roman"/>
          <w:sz w:val="28"/>
          <w:szCs w:val="28"/>
          <w:lang w:eastAsia="ru-RU"/>
        </w:rPr>
      </w:pPr>
      <w:r w:rsidRPr="00895C66">
        <w:rPr>
          <w:rFonts w:ascii="Times New Roman" w:eastAsia="Times New Roman" w:hAnsi="Times New Roman" w:cs="Times New Roman"/>
          <w:i/>
          <w:sz w:val="28"/>
          <w:szCs w:val="28"/>
          <w:lang w:eastAsia="ru-RU"/>
        </w:rPr>
        <w:t>Дотримання виконання природоохоронних заходів щодо скорочення викидів:</w:t>
      </w:r>
      <w:r w:rsidRPr="00895C66">
        <w:rPr>
          <w:rStyle w:val="hps"/>
          <w:rFonts w:ascii="Times New Roman" w:eastAsiaTheme="majorEastAsia" w:hAnsi="Times New Roman"/>
          <w:sz w:val="28"/>
          <w:szCs w:val="28"/>
          <w:lang w:eastAsia="ru-RU"/>
        </w:rPr>
        <w:t xml:space="preserve"> Природоохоронних заходів щодо скорочення викидів існуючим дозволом на викиди не передбачено, заходів щодо скорочення викидів не було встановлено.</w:t>
      </w:r>
    </w:p>
    <w:p w:rsidR="00FC5FAB" w:rsidRPr="00895C66" w:rsidRDefault="00FC5FAB" w:rsidP="00FC5FAB">
      <w:pPr>
        <w:widowControl w:val="0"/>
        <w:adjustRightInd w:val="0"/>
        <w:spacing w:after="0" w:line="240" w:lineRule="auto"/>
        <w:ind w:firstLine="709"/>
        <w:jc w:val="both"/>
        <w:rPr>
          <w:rFonts w:ascii="Times New Roman" w:eastAsia="Times New Roman" w:hAnsi="Times New Roman" w:cs="Times New Roman"/>
          <w:bCs/>
          <w:sz w:val="28"/>
          <w:szCs w:val="28"/>
          <w:lang w:eastAsia="ru-RU"/>
        </w:rPr>
      </w:pPr>
      <w:r w:rsidRPr="00895C66">
        <w:rPr>
          <w:rFonts w:ascii="Times New Roman" w:hAnsi="Times New Roman" w:cs="Times New Roman"/>
          <w:i/>
          <w:sz w:val="28"/>
          <w:szCs w:val="28"/>
        </w:rPr>
        <w:t>Відповідність пропозицій щодо дозволених обсягів викидів законодавству:</w:t>
      </w:r>
      <w:r w:rsidRPr="00895C66">
        <w:rPr>
          <w:rFonts w:ascii="Times New Roman" w:hAnsi="Times New Roman" w:cs="Times New Roman"/>
          <w:sz w:val="28"/>
          <w:szCs w:val="28"/>
        </w:rPr>
        <w:t xml:space="preserve"> </w:t>
      </w:r>
      <w:r w:rsidR="00BE4EBC" w:rsidRPr="00895C66">
        <w:rPr>
          <w:rFonts w:ascii="Times New Roman" w:hAnsi="Times New Roman" w:cs="Times New Roman"/>
          <w:sz w:val="28"/>
          <w:szCs w:val="28"/>
        </w:rPr>
        <w:t xml:space="preserve">Зроблений розрахунок </w:t>
      </w:r>
      <w:r w:rsidRPr="00895C66">
        <w:rPr>
          <w:rFonts w:ascii="Times New Roman" w:eastAsia="Times New Roman" w:hAnsi="Times New Roman" w:cs="Times New Roman"/>
          <w:bCs/>
          <w:sz w:val="28"/>
          <w:szCs w:val="28"/>
          <w:lang w:eastAsia="ru-RU"/>
        </w:rPr>
        <w:t xml:space="preserve">розсіювання підтверджує, що розрахункові концентрації на межі СЗЗ </w:t>
      </w:r>
      <w:proofErr w:type="spellStart"/>
      <w:r w:rsidRPr="00895C66">
        <w:rPr>
          <w:rFonts w:ascii="Times New Roman" w:eastAsia="Times New Roman" w:hAnsi="Times New Roman" w:cs="Times New Roman"/>
          <w:bCs/>
          <w:sz w:val="28"/>
          <w:szCs w:val="28"/>
          <w:lang w:eastAsia="ru-RU"/>
        </w:rPr>
        <w:t>проммайданчика</w:t>
      </w:r>
      <w:proofErr w:type="spellEnd"/>
      <w:r w:rsidRPr="00895C66">
        <w:rPr>
          <w:rFonts w:ascii="Times New Roman" w:eastAsia="Times New Roman" w:hAnsi="Times New Roman" w:cs="Times New Roman"/>
          <w:bCs/>
          <w:sz w:val="28"/>
          <w:szCs w:val="28"/>
          <w:lang w:eastAsia="ru-RU"/>
        </w:rPr>
        <w:t xml:space="preserve"> та найближчої житлової забудови не перевищують встановлені нормативи екологічної безпеки в приземному шарі атмосфери та викиди забруднюючих речовин не створюють суттєвого впливу на атмосферне повітря. Розроблено пропозиції щодо дозволених обсягів викидів забруднюючих речовин.  Для неорганізованих джерел викидів розроблені пропозиції щодо умов та вимог, які встановлюються в дозволі на викиди. Детальні пропозиції щодо дозволених обсягів викидів забруднюючих речовин в атмосферне повітря, умови та вимоги для кожного джерела викидів наведено в «Інформації про отримання дозволу на викиди для ознайомлення з нею громадськості».</w:t>
      </w:r>
    </w:p>
    <w:p w:rsidR="00FC5FAB" w:rsidRPr="00895C66" w:rsidRDefault="00FC5FAB" w:rsidP="00FC5FAB">
      <w:pPr>
        <w:widowControl w:val="0"/>
        <w:spacing w:after="0" w:line="240" w:lineRule="auto"/>
        <w:ind w:firstLine="709"/>
        <w:jc w:val="both"/>
        <w:rPr>
          <w:rFonts w:ascii="Times New Roman" w:eastAsia="Times New Roman" w:hAnsi="Times New Roman" w:cs="Times New Roman"/>
          <w:bCs/>
          <w:sz w:val="28"/>
          <w:szCs w:val="28"/>
          <w:lang w:eastAsia="ru-RU"/>
        </w:rPr>
      </w:pPr>
      <w:bookmarkStart w:id="9" w:name="n126"/>
      <w:bookmarkEnd w:id="9"/>
      <w:r w:rsidRPr="00895C66">
        <w:rPr>
          <w:rFonts w:ascii="Times New Roman" w:hAnsi="Times New Roman" w:cs="Times New Roman"/>
          <w:i/>
          <w:sz w:val="28"/>
          <w:szCs w:val="28"/>
        </w:rPr>
        <w:t xml:space="preserve">Адреса обласної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 </w:t>
      </w:r>
      <w:r w:rsidRPr="00895C66">
        <w:rPr>
          <w:rFonts w:ascii="Times New Roman" w:eastAsia="Times New Roman" w:hAnsi="Times New Roman" w:cs="Times New Roman"/>
          <w:bCs/>
          <w:sz w:val="28"/>
          <w:szCs w:val="28"/>
          <w:lang w:eastAsia="ru-RU"/>
        </w:rPr>
        <w:t>пр. Олександра Поля, 1, м. Дніпро, 49004, телефон гарячої лінії  Голови  Дніпропетровської  обласної  державної адміністрації 0-800-505-600.</w:t>
      </w:r>
    </w:p>
    <w:p w:rsidR="00FC5FAB" w:rsidRPr="00A96126" w:rsidRDefault="00FC5FAB" w:rsidP="00FC5FAB">
      <w:pPr>
        <w:widowControl w:val="0"/>
        <w:spacing w:after="0" w:line="240" w:lineRule="auto"/>
        <w:ind w:firstLine="709"/>
        <w:jc w:val="both"/>
        <w:rPr>
          <w:rFonts w:ascii="Times New Roman" w:eastAsia="Times New Roman" w:hAnsi="Times New Roman" w:cs="Times New Roman"/>
          <w:bCs/>
          <w:sz w:val="28"/>
          <w:szCs w:val="28"/>
          <w:lang w:eastAsia="ru-RU"/>
        </w:rPr>
      </w:pPr>
      <w:bookmarkStart w:id="10" w:name="n127"/>
      <w:bookmarkEnd w:id="10"/>
      <w:r w:rsidRPr="00895C66">
        <w:rPr>
          <w:rFonts w:ascii="Times New Roman" w:hAnsi="Times New Roman" w:cs="Times New Roman"/>
          <w:i/>
          <w:sz w:val="28"/>
          <w:szCs w:val="28"/>
        </w:rPr>
        <w:t xml:space="preserve">Строки подання зауважень та пропозицій: </w:t>
      </w:r>
      <w:r w:rsidRPr="00895C66">
        <w:rPr>
          <w:rFonts w:ascii="Times New Roman" w:eastAsia="Times New Roman" w:hAnsi="Times New Roman" w:cs="Times New Roman"/>
          <w:bCs/>
          <w:sz w:val="28"/>
          <w:szCs w:val="28"/>
          <w:lang w:eastAsia="ru-RU"/>
        </w:rPr>
        <w:t>Зауваження та пропозиції щодо намірів підприємства отримати Дозвіл на викиди приймаються протягом 30 календарних днів з дати публікації оголошення.</w:t>
      </w:r>
    </w:p>
    <w:p w:rsidR="009D0AD6" w:rsidRDefault="006B30FC"/>
    <w:sectPr w:rsidR="009D0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FAB"/>
    <w:rsid w:val="00492C4D"/>
    <w:rsid w:val="0058236C"/>
    <w:rsid w:val="006B30FC"/>
    <w:rsid w:val="00895C66"/>
    <w:rsid w:val="00A823BC"/>
    <w:rsid w:val="00AD1A6C"/>
    <w:rsid w:val="00BE4EBC"/>
    <w:rsid w:val="00FC5F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FACA3-6935-49E3-968A-B6278BA5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F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МІСТ"/>
    <w:basedOn w:val="1"/>
    <w:link w:val="a4"/>
    <w:qFormat/>
    <w:rsid w:val="0058236C"/>
    <w:pPr>
      <w:tabs>
        <w:tab w:val="right" w:leader="dot" w:pos="10195"/>
      </w:tabs>
      <w:spacing w:after="0" w:line="240" w:lineRule="auto"/>
    </w:pPr>
    <w:rPr>
      <w:rFonts w:ascii="Times New Roman" w:hAnsi="Times New Roman" w:cs="Times New Roman"/>
      <w:b/>
      <w:noProof/>
      <w:sz w:val="28"/>
      <w:szCs w:val="28"/>
    </w:rPr>
  </w:style>
  <w:style w:type="character" w:customStyle="1" w:styleId="a4">
    <w:name w:val="ЗМІСТ Знак"/>
    <w:basedOn w:val="a0"/>
    <w:link w:val="a3"/>
    <w:rsid w:val="0058236C"/>
    <w:rPr>
      <w:rFonts w:ascii="Times New Roman" w:hAnsi="Times New Roman" w:cs="Times New Roman"/>
      <w:b/>
      <w:noProof/>
      <w:sz w:val="28"/>
      <w:szCs w:val="28"/>
    </w:rPr>
  </w:style>
  <w:style w:type="paragraph" w:styleId="1">
    <w:name w:val="toc 1"/>
    <w:basedOn w:val="a"/>
    <w:next w:val="a"/>
    <w:autoRedefine/>
    <w:uiPriority w:val="39"/>
    <w:semiHidden/>
    <w:unhideWhenUsed/>
    <w:rsid w:val="0058236C"/>
    <w:pPr>
      <w:spacing w:after="100"/>
    </w:pPr>
  </w:style>
  <w:style w:type="paragraph" w:styleId="a5">
    <w:name w:val="Body Text Indent"/>
    <w:basedOn w:val="a"/>
    <w:link w:val="a6"/>
    <w:rsid w:val="00FC5FAB"/>
    <w:pPr>
      <w:widowControl w:val="0"/>
      <w:autoSpaceDE w:val="0"/>
      <w:autoSpaceDN w:val="0"/>
      <w:adjustRightInd w:val="0"/>
      <w:spacing w:before="260" w:after="0" w:line="300" w:lineRule="auto"/>
      <w:ind w:firstLine="720"/>
      <w:jc w:val="both"/>
    </w:pPr>
    <w:rPr>
      <w:rFonts w:ascii="Times New Roman" w:eastAsia="Times New Roman" w:hAnsi="Times New Roman" w:cs="Times New Roman"/>
      <w:sz w:val="26"/>
      <w:szCs w:val="20"/>
      <w:lang w:eastAsia="ru-RU"/>
    </w:rPr>
  </w:style>
  <w:style w:type="character" w:customStyle="1" w:styleId="a6">
    <w:name w:val="Основной текст с отступом Знак"/>
    <w:basedOn w:val="a0"/>
    <w:link w:val="a5"/>
    <w:rsid w:val="00FC5FAB"/>
    <w:rPr>
      <w:rFonts w:ascii="Times New Roman" w:eastAsia="Times New Roman" w:hAnsi="Times New Roman" w:cs="Times New Roman"/>
      <w:sz w:val="26"/>
      <w:szCs w:val="20"/>
      <w:lang w:eastAsia="ru-RU"/>
    </w:rPr>
  </w:style>
  <w:style w:type="paragraph" w:styleId="a7">
    <w:name w:val="Body Text"/>
    <w:basedOn w:val="a"/>
    <w:link w:val="a8"/>
    <w:unhideWhenUsed/>
    <w:rsid w:val="00FC5FAB"/>
    <w:pPr>
      <w:spacing w:after="120"/>
    </w:pPr>
  </w:style>
  <w:style w:type="character" w:customStyle="1" w:styleId="a8">
    <w:name w:val="Основной текст Знак"/>
    <w:basedOn w:val="a0"/>
    <w:link w:val="a7"/>
    <w:rsid w:val="00FC5FAB"/>
  </w:style>
  <w:style w:type="character" w:customStyle="1" w:styleId="hps">
    <w:name w:val="hps"/>
    <w:basedOn w:val="a0"/>
    <w:rsid w:val="00FC5FAB"/>
    <w:rPr>
      <w:rFonts w:cs="Times New Roman"/>
    </w:rPr>
  </w:style>
  <w:style w:type="paragraph" w:styleId="a9">
    <w:name w:val="Balloon Text"/>
    <w:basedOn w:val="a"/>
    <w:link w:val="aa"/>
    <w:uiPriority w:val="99"/>
    <w:semiHidden/>
    <w:unhideWhenUsed/>
    <w:rsid w:val="006B30F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B30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2059-19" TargetMode="External"/><Relationship Id="rId4" Type="http://schemas.openxmlformats.org/officeDocument/2006/relationships/hyperlink" Target="mailto:amkr@ar&#1089;elormitta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4965</Words>
  <Characters>2831</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Анатольевна Шиповская</dc:creator>
  <cp:keywords/>
  <dc:description/>
  <cp:lastModifiedBy>Оксана Анатольевна Шиповская</cp:lastModifiedBy>
  <cp:revision>2</cp:revision>
  <cp:lastPrinted>2024-10-31T07:47:00Z</cp:lastPrinted>
  <dcterms:created xsi:type="dcterms:W3CDTF">2024-10-31T07:48:00Z</dcterms:created>
  <dcterms:modified xsi:type="dcterms:W3CDTF">2024-10-31T07:48:00Z</dcterms:modified>
</cp:coreProperties>
</file>