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180AB1">
        <w:t>Виноградівське управління з експлуатації газового господарства Зака</w:t>
      </w:r>
      <w:r w:rsidR="00180AB1" w:rsidRPr="00A14A6D">
        <w:rPr>
          <w:iCs/>
        </w:rPr>
        <w:t>рпатської філії ТОВ " Газорозподільні мережі України "</w:t>
      </w:r>
      <w:r w:rsidR="00180AB1" w:rsidRPr="00B70B4B">
        <w:t>,</w:t>
      </w:r>
      <w:r w:rsidR="00180AB1" w:rsidRPr="00B70B4B">
        <w:rPr>
          <w:bCs/>
        </w:rPr>
        <w:t xml:space="preserve"> </w:t>
      </w:r>
      <w:r w:rsidR="00180AB1">
        <w:rPr>
          <w:iCs/>
        </w:rPr>
        <w:t>90300</w:t>
      </w:r>
      <w:r w:rsidR="00180AB1" w:rsidRPr="00A14A6D">
        <w:rPr>
          <w:iCs/>
        </w:rPr>
        <w:t xml:space="preserve"> Україна, Закарпатська область, </w:t>
      </w:r>
      <w:r w:rsidR="00180AB1">
        <w:rPr>
          <w:iCs/>
        </w:rPr>
        <w:t>Берегівський</w:t>
      </w:r>
      <w:r w:rsidR="00180AB1" w:rsidRPr="00A14A6D">
        <w:rPr>
          <w:iCs/>
        </w:rPr>
        <w:t xml:space="preserve"> р-н,  </w:t>
      </w:r>
      <w:r w:rsidR="00180AB1">
        <w:rPr>
          <w:iCs/>
        </w:rPr>
        <w:t>Виноградівська</w:t>
      </w:r>
      <w:r w:rsidR="00180AB1" w:rsidRPr="00A14A6D">
        <w:rPr>
          <w:iCs/>
        </w:rPr>
        <w:t xml:space="preserve"> ТГ, </w:t>
      </w:r>
      <w:r w:rsidR="00180AB1">
        <w:rPr>
          <w:iCs/>
        </w:rPr>
        <w:t>м. Виноградів, вул. Пухова 70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9152A6">
        <w:rPr>
          <w:bCs/>
          <w:shd w:val="clear" w:color="auto" w:fill="FFFFFF"/>
        </w:rPr>
        <w:t>управління</w:t>
      </w:r>
      <w:bookmarkStart w:id="2" w:name="_GoBack"/>
      <w:bookmarkEnd w:id="2"/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котлах (теплопостачання приміщень), спалюванні бензину 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- 0,0</w:t>
      </w:r>
      <w:r w:rsidR="00180AB1">
        <w:rPr>
          <w:rFonts w:ascii="Times New Roman" w:hAnsi="Times New Roman"/>
          <w:b w:val="0"/>
          <w:bCs w:val="0"/>
          <w:sz w:val="24"/>
        </w:rPr>
        <w:t>94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180AB1">
        <w:rPr>
          <w:rFonts w:ascii="Times New Roman" w:hAnsi="Times New Roman"/>
          <w:b w:val="0"/>
          <w:bCs w:val="0"/>
          <w:sz w:val="24"/>
        </w:rPr>
        <w:t>407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0,004 т/рік, аміак – 0,0001 т/рік, НМЛОС (вуглеводні С12-19) – 0,</w:t>
      </w:r>
      <w:r w:rsidR="00180AB1">
        <w:rPr>
          <w:rFonts w:ascii="Times New Roman" w:hAnsi="Times New Roman"/>
          <w:b w:val="0"/>
          <w:sz w:val="24"/>
        </w:rPr>
        <w:t>264</w:t>
      </w:r>
      <w:r w:rsidRPr="005945F4">
        <w:rPr>
          <w:rFonts w:ascii="Times New Roman" w:hAnsi="Times New Roman"/>
          <w:b w:val="0"/>
          <w:sz w:val="24"/>
        </w:rPr>
        <w:t xml:space="preserve"> т/рік, 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 </w:t>
      </w:r>
      <w:r w:rsidR="00180AB1">
        <w:rPr>
          <w:rFonts w:ascii="Times New Roman" w:hAnsi="Times New Roman"/>
          <w:b w:val="0"/>
          <w:sz w:val="24"/>
        </w:rPr>
        <w:t>59,3</w:t>
      </w:r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9152A6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6D38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2924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34</cp:revision>
  <dcterms:created xsi:type="dcterms:W3CDTF">2024-01-17T18:26:00Z</dcterms:created>
  <dcterms:modified xsi:type="dcterms:W3CDTF">2024-11-09T09:23:00Z</dcterms:modified>
</cp:coreProperties>
</file>