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83197" w14:textId="6455563D" w:rsidR="00D170BE" w:rsidRPr="00D170BE" w:rsidRDefault="00D170BE" w:rsidP="00D170BE">
      <w:pPr>
        <w:pStyle w:val="a8"/>
        <w:widowControl/>
        <w:tabs>
          <w:tab w:val="left" w:pos="3780"/>
        </w:tabs>
        <w:ind w:left="540"/>
        <w:jc w:val="center"/>
        <w:rPr>
          <w:b/>
          <w:iCs/>
        </w:rPr>
      </w:pPr>
      <w:r w:rsidRPr="00D170BE">
        <w:rPr>
          <w:b/>
        </w:rPr>
        <w:t>Повідомлення про намір отримати дозвіл на викиди</w:t>
      </w:r>
    </w:p>
    <w:p w14:paraId="5DC34F09" w14:textId="77777777" w:rsidR="00D170BE" w:rsidRPr="00D170BE" w:rsidRDefault="00D170BE" w:rsidP="00D170BE">
      <w:pPr>
        <w:suppressAutoHyphens/>
        <w:ind w:firstLine="540"/>
        <w:jc w:val="both"/>
        <w:rPr>
          <w:rFonts w:eastAsia="MS Mincho"/>
          <w:iCs/>
          <w:noProof/>
          <w:sz w:val="22"/>
          <w:szCs w:val="22"/>
        </w:rPr>
      </w:pPr>
      <w:r w:rsidRPr="00D170BE">
        <w:rPr>
          <w:rFonts w:eastAsia="MS Mincho"/>
          <w:iCs/>
          <w:noProof/>
          <w:sz w:val="22"/>
          <w:szCs w:val="22"/>
          <w:u w:val="single"/>
        </w:rPr>
        <w:t>Повне та скорочене найменування об’єкта:</w:t>
      </w:r>
      <w:r w:rsidRPr="00D170BE">
        <w:rPr>
          <w:rFonts w:eastAsia="MS Mincho"/>
          <w:iCs/>
          <w:noProof/>
          <w:sz w:val="22"/>
          <w:szCs w:val="22"/>
        </w:rPr>
        <w:t xml:space="preserve"> Товариство з обмеженою відповідальністю </w:t>
      </w:r>
      <w:r w:rsidRPr="00D170BE">
        <w:rPr>
          <w:sz w:val="22"/>
          <w:szCs w:val="22"/>
        </w:rPr>
        <w:t>«СОКАР ПЕТРОЛЕУМ»</w:t>
      </w:r>
      <w:r w:rsidRPr="00D170BE">
        <w:rPr>
          <w:rFonts w:eastAsia="MS Mincho"/>
          <w:iCs/>
          <w:noProof/>
          <w:sz w:val="22"/>
          <w:szCs w:val="22"/>
        </w:rPr>
        <w:t xml:space="preserve"> (</w:t>
      </w:r>
      <w:r w:rsidRPr="00D170BE">
        <w:rPr>
          <w:sz w:val="22"/>
          <w:szCs w:val="22"/>
        </w:rPr>
        <w:t>ТОВ «СОКАР ПЕТРОЛЕУМ»</w:t>
      </w:r>
      <w:r w:rsidRPr="00D170BE">
        <w:rPr>
          <w:rFonts w:eastAsia="MS Mincho"/>
          <w:iCs/>
          <w:noProof/>
          <w:sz w:val="22"/>
          <w:szCs w:val="22"/>
        </w:rPr>
        <w:t>).</w:t>
      </w:r>
    </w:p>
    <w:p w14:paraId="28BBFCAA" w14:textId="77777777" w:rsidR="00D170BE" w:rsidRPr="00D170BE" w:rsidRDefault="00D170BE" w:rsidP="00D170BE">
      <w:pPr>
        <w:suppressAutoHyphens/>
        <w:jc w:val="both"/>
        <w:rPr>
          <w:rFonts w:eastAsia="MS Mincho"/>
          <w:iCs/>
          <w:noProof/>
          <w:sz w:val="22"/>
          <w:szCs w:val="22"/>
        </w:rPr>
      </w:pPr>
      <w:r w:rsidRPr="00D170BE">
        <w:rPr>
          <w:rFonts w:eastAsia="MS Mincho"/>
          <w:iCs/>
          <w:noProof/>
          <w:sz w:val="22"/>
          <w:szCs w:val="22"/>
          <w:u w:val="single"/>
        </w:rPr>
        <w:t>Код ЄДРПОУ</w:t>
      </w:r>
      <w:r w:rsidRPr="00D170BE">
        <w:rPr>
          <w:rFonts w:eastAsia="MS Mincho"/>
          <w:iCs/>
          <w:noProof/>
          <w:sz w:val="22"/>
          <w:szCs w:val="22"/>
        </w:rPr>
        <w:t xml:space="preserve">: </w:t>
      </w:r>
      <w:r w:rsidRPr="00D170BE">
        <w:rPr>
          <w:sz w:val="22"/>
          <w:szCs w:val="22"/>
        </w:rPr>
        <w:t>38305367</w:t>
      </w:r>
      <w:r w:rsidRPr="00D170BE">
        <w:rPr>
          <w:rFonts w:eastAsia="MS Mincho"/>
          <w:iCs/>
          <w:noProof/>
          <w:sz w:val="22"/>
          <w:szCs w:val="22"/>
        </w:rPr>
        <w:t>.</w:t>
      </w:r>
    </w:p>
    <w:p w14:paraId="4ED8CAEB" w14:textId="77777777" w:rsidR="00D170BE" w:rsidRPr="00D170BE" w:rsidRDefault="00D170BE" w:rsidP="00D170BE">
      <w:pPr>
        <w:suppressAutoHyphens/>
        <w:ind w:firstLine="720"/>
        <w:jc w:val="both"/>
        <w:rPr>
          <w:rFonts w:eastAsia="MS Mincho"/>
          <w:iCs/>
          <w:noProof/>
          <w:sz w:val="22"/>
          <w:szCs w:val="22"/>
          <w:u w:val="single"/>
        </w:rPr>
      </w:pPr>
      <w:r w:rsidRPr="00D170BE">
        <w:rPr>
          <w:rFonts w:eastAsia="MS Mincho"/>
          <w:iCs/>
          <w:noProof/>
          <w:sz w:val="22"/>
          <w:szCs w:val="22"/>
          <w:u w:val="single"/>
        </w:rPr>
        <w:t>Місцезнаходження суб’єкта господарювання, контактний номер телефону, адресу електронної пошти суб’єкта господарювання</w:t>
      </w:r>
      <w:r w:rsidRPr="00D170BE">
        <w:rPr>
          <w:rFonts w:eastAsia="MS Mincho"/>
          <w:iCs/>
          <w:noProof/>
          <w:sz w:val="22"/>
          <w:szCs w:val="22"/>
        </w:rPr>
        <w:t>: 18001, Черкаська обл., м. Черкаси, вул. Надпільна, буд. 226/1; тел. (044) 207-10-10,</w:t>
      </w:r>
      <w:r w:rsidRPr="00D170BE">
        <w:rPr>
          <w:sz w:val="22"/>
          <w:szCs w:val="22"/>
        </w:rPr>
        <w:t xml:space="preserve"> </w:t>
      </w:r>
      <w:r w:rsidRPr="00D170BE">
        <w:rPr>
          <w:rFonts w:eastAsia="MS Mincho"/>
          <w:iCs/>
          <w:noProof/>
          <w:sz w:val="22"/>
          <w:szCs w:val="22"/>
        </w:rPr>
        <w:t>a.barniak@socar.ua</w:t>
      </w:r>
    </w:p>
    <w:p w14:paraId="6DED65F2" w14:textId="77777777" w:rsidR="00D170BE" w:rsidRPr="00D170BE" w:rsidRDefault="00D170BE" w:rsidP="00D170BE">
      <w:pPr>
        <w:suppressAutoHyphens/>
        <w:ind w:firstLine="720"/>
        <w:jc w:val="both"/>
        <w:rPr>
          <w:rFonts w:eastAsia="MS Mincho"/>
          <w:iCs/>
          <w:noProof/>
          <w:sz w:val="22"/>
          <w:szCs w:val="22"/>
        </w:rPr>
      </w:pPr>
      <w:r w:rsidRPr="00D170BE">
        <w:rPr>
          <w:rFonts w:eastAsia="MS Mincho"/>
          <w:iCs/>
          <w:noProof/>
          <w:sz w:val="22"/>
          <w:szCs w:val="22"/>
          <w:u w:val="single"/>
        </w:rPr>
        <w:t>Місцезнаходження об’єкта / промислового майданчика</w:t>
      </w:r>
      <w:r w:rsidRPr="00D170BE">
        <w:rPr>
          <w:rFonts w:eastAsia="MS Mincho"/>
          <w:iCs/>
          <w:noProof/>
          <w:sz w:val="22"/>
          <w:szCs w:val="22"/>
        </w:rPr>
        <w:t>: АЗС 04/4 знаходиться за адресою: 79028, Львівська область, місто Львів, Сихівський р-н., вулиця Навроцького, 25.</w:t>
      </w:r>
    </w:p>
    <w:p w14:paraId="476CE72E" w14:textId="77777777" w:rsidR="00D170BE" w:rsidRPr="00D170BE" w:rsidRDefault="00D170BE" w:rsidP="00D170BE">
      <w:pPr>
        <w:suppressAutoHyphens/>
        <w:ind w:firstLine="720"/>
        <w:jc w:val="both"/>
        <w:rPr>
          <w:rFonts w:eastAsia="MS Mincho"/>
          <w:iCs/>
          <w:noProof/>
          <w:sz w:val="22"/>
          <w:szCs w:val="22"/>
        </w:rPr>
      </w:pPr>
      <w:r w:rsidRPr="00D170BE">
        <w:rPr>
          <w:rFonts w:eastAsia="MS Mincho"/>
          <w:iCs/>
          <w:noProof/>
          <w:sz w:val="22"/>
          <w:szCs w:val="22"/>
          <w:u w:val="single"/>
        </w:rPr>
        <w:t>Мета отримання дозволу  на викиди</w:t>
      </w:r>
      <w:r w:rsidRPr="00D170BE">
        <w:rPr>
          <w:rFonts w:eastAsia="MS Mincho"/>
          <w:iCs/>
          <w:noProof/>
          <w:sz w:val="22"/>
          <w:szCs w:val="22"/>
        </w:rPr>
        <w:t>: отримання дозволу для існуючого об’єкта, що має дозвіл на викиди у зв</w:t>
      </w:r>
      <w:r w:rsidRPr="00D170BE">
        <w:rPr>
          <w:rFonts w:eastAsia="MS Mincho"/>
          <w:iCs/>
          <w:noProof/>
          <w:sz w:val="22"/>
          <w:szCs w:val="22"/>
          <w:lang w:val="ru-RU"/>
        </w:rPr>
        <w:t>’</w:t>
      </w:r>
      <w:r w:rsidRPr="00D170BE">
        <w:rPr>
          <w:rFonts w:eastAsia="MS Mincho"/>
          <w:iCs/>
          <w:noProof/>
          <w:sz w:val="22"/>
          <w:szCs w:val="22"/>
        </w:rPr>
        <w:t>язку зі змінами, що сталися на промисловому майданчику підприємста.</w:t>
      </w:r>
    </w:p>
    <w:p w14:paraId="37EDA9B3" w14:textId="77777777" w:rsidR="00D170BE" w:rsidRPr="00D170BE" w:rsidRDefault="00D170BE" w:rsidP="00D170BE">
      <w:pPr>
        <w:suppressAutoHyphens/>
        <w:ind w:firstLine="720"/>
        <w:jc w:val="both"/>
        <w:rPr>
          <w:rFonts w:eastAsia="MS Mincho"/>
          <w:iCs/>
          <w:noProof/>
          <w:sz w:val="22"/>
          <w:szCs w:val="22"/>
        </w:rPr>
      </w:pPr>
      <w:r w:rsidRPr="00D170BE">
        <w:rPr>
          <w:rFonts w:eastAsia="MS Mincho"/>
          <w:iCs/>
          <w:noProof/>
          <w:sz w:val="22"/>
          <w:szCs w:val="22"/>
          <w:u w:val="single"/>
        </w:rPr>
        <w:t>Відомості про наявність висновку  з оцінки впливу на довкілля</w:t>
      </w:r>
      <w:r w:rsidRPr="00D170BE">
        <w:rPr>
          <w:rFonts w:eastAsia="MS Mincho"/>
          <w:iCs/>
          <w:noProof/>
          <w:sz w:val="22"/>
          <w:szCs w:val="22"/>
        </w:rPr>
        <w:t xml:space="preserve"> : належить до другої категорії видів планованої діяльності та об’єктів, які можуть мати значний вплив на довкілля та підлягають оцінці впливу на довкілля згідно зі ст.3 Закону України «Про оцінку впливу на довкілля» ч.3 пункт 4 (поверхневе та підземне зберігання викопного палива чи продуктів їх переробки на площі 500 м</w:t>
      </w:r>
      <w:r w:rsidRPr="00D170BE">
        <w:rPr>
          <w:rFonts w:eastAsia="MS Mincho"/>
          <w:iCs/>
          <w:noProof/>
          <w:sz w:val="22"/>
          <w:szCs w:val="22"/>
          <w:vertAlign w:val="superscript"/>
        </w:rPr>
        <w:t>2</w:t>
      </w:r>
      <w:r w:rsidRPr="00D170BE">
        <w:rPr>
          <w:rFonts w:eastAsia="MS Mincho"/>
          <w:iCs/>
          <w:noProof/>
          <w:sz w:val="22"/>
          <w:szCs w:val="22"/>
        </w:rPr>
        <w:t xml:space="preserve"> і більше або об’ємом (для рідких або газоподібних) 15 м</w:t>
      </w:r>
      <w:r w:rsidRPr="00D170BE">
        <w:rPr>
          <w:rFonts w:eastAsia="MS Mincho"/>
          <w:iCs/>
          <w:noProof/>
          <w:sz w:val="22"/>
          <w:szCs w:val="22"/>
          <w:vertAlign w:val="superscript"/>
        </w:rPr>
        <w:t>3</w:t>
      </w:r>
      <w:r w:rsidRPr="00D170BE">
        <w:rPr>
          <w:rFonts w:eastAsia="MS Mincho"/>
          <w:iCs/>
          <w:noProof/>
          <w:sz w:val="22"/>
          <w:szCs w:val="22"/>
        </w:rPr>
        <w:t xml:space="preserve"> і більше). У 2024 році розроблено «Звіт з оцінки впливу на довкілля автозаправної станції (АЗС) з влаштованим газовим автомобільним пунктом модульного типу по вул. Навроцького, 25 в м. Львів Сихівського району Львівської області» та отримано позитивний висновок з оцінки впливу на довкілля №03.02-8421/1 від 11.09.2024.</w:t>
      </w:r>
    </w:p>
    <w:p w14:paraId="339417A3" w14:textId="004BB7A0" w:rsidR="00D170BE" w:rsidRPr="00D170BE" w:rsidRDefault="00D170BE" w:rsidP="00D170BE">
      <w:pPr>
        <w:suppressAutoHyphens/>
        <w:ind w:firstLine="720"/>
        <w:jc w:val="both"/>
        <w:rPr>
          <w:sz w:val="22"/>
          <w:szCs w:val="22"/>
        </w:rPr>
      </w:pPr>
      <w:r w:rsidRPr="00D170BE">
        <w:rPr>
          <w:rFonts w:eastAsia="MS Mincho"/>
          <w:iCs/>
          <w:noProof/>
          <w:sz w:val="22"/>
          <w:szCs w:val="22"/>
          <w:u w:val="single"/>
        </w:rPr>
        <w:t>Загальний опис об’єкта:</w:t>
      </w:r>
      <w:r w:rsidRPr="00D170BE">
        <w:rPr>
          <w:rFonts w:eastAsia="MS Mincho"/>
          <w:iCs/>
          <w:noProof/>
          <w:sz w:val="22"/>
          <w:szCs w:val="22"/>
        </w:rPr>
        <w:t xml:space="preserve"> </w:t>
      </w:r>
      <w:r w:rsidRPr="00D170BE">
        <w:rPr>
          <w:sz w:val="22"/>
          <w:szCs w:val="22"/>
        </w:rPr>
        <w:t>займається роздрібною торгівлею пальним. У комплекс АЗС входять 2 підземних резервуари для зберігання нафтопродуктів (25 м</w:t>
      </w:r>
      <w:r w:rsidRPr="00D170BE">
        <w:rPr>
          <w:sz w:val="22"/>
          <w:szCs w:val="22"/>
          <w:vertAlign w:val="superscript"/>
        </w:rPr>
        <w:t>3</w:t>
      </w:r>
      <w:r w:rsidRPr="00D170BE">
        <w:rPr>
          <w:sz w:val="22"/>
          <w:szCs w:val="22"/>
        </w:rPr>
        <w:t>+25м</w:t>
      </w:r>
      <w:r w:rsidRPr="00D170BE">
        <w:rPr>
          <w:sz w:val="22"/>
          <w:szCs w:val="22"/>
          <w:vertAlign w:val="superscript"/>
        </w:rPr>
        <w:t>3</w:t>
      </w:r>
      <w:r w:rsidRPr="00D170BE">
        <w:rPr>
          <w:sz w:val="22"/>
          <w:szCs w:val="22"/>
        </w:rPr>
        <w:t>), які поділені на секції. А також один підземний  резервуар (25м</w:t>
      </w:r>
      <w:r w:rsidRPr="00D170BE">
        <w:rPr>
          <w:sz w:val="22"/>
          <w:szCs w:val="22"/>
          <w:vertAlign w:val="superscript"/>
        </w:rPr>
        <w:t>3</w:t>
      </w:r>
      <w:r w:rsidRPr="00D170BE">
        <w:rPr>
          <w:sz w:val="22"/>
          <w:szCs w:val="22"/>
        </w:rPr>
        <w:t xml:space="preserve">), для аварійного зливу нафтопродуктів. Кількість дихальних клапанів - 5. Автомобільний газозаправний пункт  для зберігання та заправки СВГ (скрапленим вуглеводневим газом). Заправлення автомобілів передбачено двома двохсторонніми паливо-роздавальними колонками (ПРК) на 4 види палива кожна: бензин (А-95, А-95 </w:t>
      </w:r>
      <w:r w:rsidR="005E1504" w:rsidRPr="00D170BE">
        <w:rPr>
          <w:sz w:val="22"/>
          <w:szCs w:val="22"/>
        </w:rPr>
        <w:t>Nano</w:t>
      </w:r>
      <w:r w:rsidRPr="00D170BE">
        <w:rPr>
          <w:sz w:val="22"/>
          <w:szCs w:val="22"/>
        </w:rPr>
        <w:t>), дизельне пальне( Nano, Extro). На АЗС встановлений генератор типу «Wilson P65-1», потужністю 60 кВт. Проєктна та фактична потужності співпадають.</w:t>
      </w:r>
    </w:p>
    <w:p w14:paraId="535B995D" w14:textId="77777777" w:rsidR="00D170BE" w:rsidRPr="00D170BE" w:rsidRDefault="00D170BE" w:rsidP="00D170BE">
      <w:pPr>
        <w:suppressAutoHyphens/>
        <w:ind w:firstLine="720"/>
        <w:jc w:val="both"/>
        <w:rPr>
          <w:rFonts w:eastAsia="MS Mincho"/>
          <w:iCs/>
          <w:noProof/>
          <w:sz w:val="22"/>
          <w:szCs w:val="22"/>
        </w:rPr>
      </w:pPr>
      <w:r w:rsidRPr="00D170BE">
        <w:rPr>
          <w:rFonts w:eastAsia="MS Mincho"/>
          <w:iCs/>
          <w:noProof/>
          <w:sz w:val="22"/>
          <w:szCs w:val="22"/>
          <w:u w:val="single"/>
        </w:rPr>
        <w:t>Відомості щодо видів та обсягів викидів:</w:t>
      </w:r>
      <w:r w:rsidRPr="00D170BE">
        <w:rPr>
          <w:rFonts w:eastAsia="MS Mincho"/>
          <w:iCs/>
          <w:noProof/>
          <w:sz w:val="22"/>
          <w:szCs w:val="22"/>
        </w:rPr>
        <w:t xml:space="preserve"> оксид вуглецю-0,0011т/р, вуглецю діоксид-2,107 т/р, речовини у вигляді суспендованих твердих частинок, недиференційованих за складом-0,000066т/р, оксиди азоту (у перерахунку на діоксид азоту [NO + NO2])-0,028 т/р, сірки діоксид-0,0026т/р, бутан-0,420т/р, бензин (нафтовий,малосірчистий, в перерахунку на вуглець)-0,3484т/р, вуглеводні гpаничні С12-С19(розчинник РПК-265 П та інш.)-0,02720т/р, пропан-0,557т/р.</w:t>
      </w:r>
    </w:p>
    <w:p w14:paraId="7C1753C2" w14:textId="77777777" w:rsidR="00D170BE" w:rsidRPr="00D170BE" w:rsidRDefault="00D170BE" w:rsidP="00D170BE">
      <w:pPr>
        <w:suppressAutoHyphens/>
        <w:ind w:firstLine="566"/>
        <w:jc w:val="both"/>
        <w:rPr>
          <w:rFonts w:eastAsia="MS Mincho"/>
          <w:iCs/>
          <w:noProof/>
          <w:sz w:val="22"/>
          <w:szCs w:val="22"/>
        </w:rPr>
      </w:pPr>
      <w:r w:rsidRPr="00D170BE">
        <w:rPr>
          <w:rFonts w:eastAsia="MS Mincho"/>
          <w:iCs/>
          <w:noProof/>
          <w:sz w:val="22"/>
          <w:szCs w:val="22"/>
          <w:u w:val="single"/>
        </w:rPr>
        <w:t>Заходи щодо впровадження найкращих існуючих технологій виробництва:</w:t>
      </w:r>
      <w:r w:rsidRPr="00D170BE">
        <w:rPr>
          <w:rFonts w:eastAsia="MS Mincho"/>
          <w:iCs/>
          <w:noProof/>
          <w:sz w:val="22"/>
          <w:szCs w:val="22"/>
        </w:rPr>
        <w:t xml:space="preserve"> на підприємстві немає виробництв та технологічного устаткування, на яких повинні впроваджуватися найкращі доступні технології та методи керування.</w:t>
      </w:r>
    </w:p>
    <w:p w14:paraId="25F5248D" w14:textId="77777777" w:rsidR="00D170BE" w:rsidRPr="00D170BE" w:rsidRDefault="00D170BE" w:rsidP="00D170BE">
      <w:pPr>
        <w:ind w:firstLine="566"/>
        <w:contextualSpacing/>
        <w:jc w:val="both"/>
        <w:rPr>
          <w:rFonts w:eastAsia="MS Mincho"/>
          <w:noProof/>
          <w:sz w:val="22"/>
          <w:szCs w:val="22"/>
        </w:rPr>
      </w:pPr>
      <w:r w:rsidRPr="00D170BE">
        <w:rPr>
          <w:rFonts w:eastAsia="Calibri" w:cs="Calibri"/>
          <w:sz w:val="22"/>
          <w:szCs w:val="22"/>
          <w:u w:val="single"/>
        </w:rPr>
        <w:t>Перелік заходів щодо скорочення викидів:</w:t>
      </w:r>
      <w:r w:rsidRPr="00D170BE">
        <w:rPr>
          <w:rFonts w:eastAsia="Calibri" w:cs="Calibri"/>
          <w:sz w:val="22"/>
          <w:szCs w:val="22"/>
        </w:rPr>
        <w:t xml:space="preserve"> </w:t>
      </w:r>
      <w:r w:rsidRPr="00D170BE">
        <w:rPr>
          <w:rFonts w:eastAsia="MS Mincho"/>
          <w:iCs/>
          <w:noProof/>
          <w:sz w:val="22"/>
          <w:szCs w:val="22"/>
        </w:rPr>
        <w:t xml:space="preserve">фактичні викиди забруднюючих речовин від стаціонарних джерел не перевищують нормативи граничнодопустимих викидів </w:t>
      </w:r>
      <w:r w:rsidRPr="00D170BE">
        <w:rPr>
          <w:rFonts w:eastAsia="MS Mincho"/>
          <w:noProof/>
          <w:sz w:val="22"/>
          <w:szCs w:val="22"/>
        </w:rPr>
        <w:t>відповідно до законодавства. Заходи щодо скорочення викидів не передбачаються.</w:t>
      </w:r>
    </w:p>
    <w:p w14:paraId="4887FE6D" w14:textId="77777777" w:rsidR="00D170BE" w:rsidRPr="00D170BE" w:rsidRDefault="00D170BE" w:rsidP="00D170BE">
      <w:pPr>
        <w:ind w:firstLine="566"/>
        <w:contextualSpacing/>
        <w:jc w:val="both"/>
        <w:rPr>
          <w:rFonts w:eastAsia="Calibri" w:cs="Calibri"/>
          <w:sz w:val="22"/>
          <w:szCs w:val="22"/>
        </w:rPr>
      </w:pPr>
      <w:bookmarkStart w:id="0" w:name="_Hlk158636981"/>
      <w:r w:rsidRPr="00D170BE">
        <w:rPr>
          <w:rFonts w:eastAsia="Calibri" w:cs="Calibri"/>
          <w:sz w:val="22"/>
          <w:szCs w:val="22"/>
          <w:u w:val="single"/>
        </w:rPr>
        <w:t>Дотримання виконання природоохоронних заходів щодо скорочення викидів</w:t>
      </w:r>
      <w:r w:rsidRPr="00D170BE">
        <w:rPr>
          <w:rFonts w:eastAsia="Calibri" w:cs="Calibri"/>
          <w:sz w:val="22"/>
          <w:szCs w:val="22"/>
        </w:rPr>
        <w:t>: природоохоронні заходи щодо скорочення викидів забруднюючих речовин для даного підприємства не передбачаються.</w:t>
      </w:r>
      <w:bookmarkEnd w:id="0"/>
    </w:p>
    <w:p w14:paraId="24388732" w14:textId="77777777" w:rsidR="00D170BE" w:rsidRPr="00D170BE" w:rsidRDefault="00D170BE" w:rsidP="00D170BE">
      <w:pPr>
        <w:ind w:firstLine="566"/>
        <w:contextualSpacing/>
        <w:jc w:val="both"/>
        <w:rPr>
          <w:rFonts w:eastAsia="MS Mincho"/>
          <w:noProof/>
          <w:sz w:val="22"/>
          <w:szCs w:val="22"/>
        </w:rPr>
      </w:pPr>
      <w:r w:rsidRPr="00D170BE">
        <w:rPr>
          <w:rFonts w:eastAsia="Calibri" w:cs="Calibri"/>
          <w:sz w:val="22"/>
          <w:szCs w:val="22"/>
          <w:u w:val="single"/>
        </w:rPr>
        <w:t xml:space="preserve">Відповідність пропозицій щодо дозволених обсягів викидів законодавству: </w:t>
      </w:r>
      <w:r w:rsidRPr="00D170BE">
        <w:rPr>
          <w:noProof/>
          <w:sz w:val="22"/>
          <w:szCs w:val="22"/>
        </w:rPr>
        <w:t>пропозиції щодо дозволених обсягів викидів забруднюючих речовин в атмосферне повітря не перевищують величин граничнодопустимих викидів відповідно до законодавства. Встановлено умови до викидів забруднюючих речовин в атмосферне повітря стаціонарними джерелами.</w:t>
      </w:r>
    </w:p>
    <w:p w14:paraId="27A75CB6" w14:textId="77777777" w:rsidR="00D170BE" w:rsidRPr="00D170BE" w:rsidRDefault="00D170BE" w:rsidP="00D170BE">
      <w:pPr>
        <w:pStyle w:val="a3"/>
        <w:ind w:left="0"/>
        <w:jc w:val="both"/>
        <w:rPr>
          <w:noProof/>
          <w:sz w:val="22"/>
          <w:szCs w:val="22"/>
          <w:lang w:eastAsia="ru-RU"/>
        </w:rPr>
      </w:pPr>
      <w:r w:rsidRPr="00D170BE">
        <w:rPr>
          <w:rFonts w:eastAsia="Calibri" w:cs="Calibri"/>
          <w:sz w:val="22"/>
          <w:szCs w:val="22"/>
          <w:u w:val="single"/>
          <w:lang w:val="uk-UA"/>
        </w:rPr>
        <w:t xml:space="preserve">Зауваження та пропозиції громадськості щодо дозволу на викиди прохання надавати у письмовій або електронній формі протягом 30 днів з дня опублікування в: </w:t>
      </w:r>
      <w:r w:rsidRPr="00D170BE">
        <w:rPr>
          <w:bCs/>
          <w:sz w:val="22"/>
          <w:szCs w:val="22"/>
          <w:lang w:val="uk-UA" w:eastAsia="ru-RU"/>
        </w:rPr>
        <w:t xml:space="preserve">Зауваження громадських організацій та окремих громадян приймаються впродовж 30 календарних днів від дати публікації інформації Львівською обласною військовою адміністрацією – Департамент екології та природних ресурсів Львівської обласної військової адміністрації за адресою: 79026, Львівська обл., Львівський р-н, м. Львів, вул. </w:t>
      </w:r>
      <w:r w:rsidRPr="00D170BE">
        <w:rPr>
          <w:bCs/>
          <w:sz w:val="22"/>
          <w:szCs w:val="22"/>
          <w:lang w:eastAsia="ru-RU"/>
        </w:rPr>
        <w:t>Стрийська, 98, (032)238-73-83, envir@loda.gov.ua</w:t>
      </w:r>
    </w:p>
    <w:p w14:paraId="2A8014A8" w14:textId="63558BFC" w:rsidR="00571EFE" w:rsidRPr="00D170BE" w:rsidRDefault="00571EFE" w:rsidP="00D170BE">
      <w:pPr>
        <w:rPr>
          <w:sz w:val="22"/>
          <w:szCs w:val="22"/>
        </w:rPr>
      </w:pPr>
    </w:p>
    <w:sectPr w:rsidR="00571EFE" w:rsidRPr="00D170BE" w:rsidSect="00D170BE">
      <w:footerReference w:type="default" r:id="rId7"/>
      <w:pgSz w:w="11906" w:h="16838" w:code="9"/>
      <w:pgMar w:top="1134" w:right="567" w:bottom="1134" w:left="1701"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5E7C3" w14:textId="77777777" w:rsidR="00067A1A" w:rsidRDefault="00067A1A" w:rsidP="00067A1A">
      <w:r>
        <w:separator/>
      </w:r>
    </w:p>
  </w:endnote>
  <w:endnote w:type="continuationSeparator" w:id="0">
    <w:p w14:paraId="08BC75DD" w14:textId="77777777" w:rsidR="00067A1A" w:rsidRDefault="00067A1A" w:rsidP="0006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57F7C" w14:textId="3F83F828" w:rsidR="00067A1A" w:rsidRPr="00D170BE" w:rsidRDefault="00067A1A" w:rsidP="00067A1A">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A3344" w14:textId="77777777" w:rsidR="00067A1A" w:rsidRDefault="00067A1A" w:rsidP="00067A1A">
      <w:r>
        <w:separator/>
      </w:r>
    </w:p>
  </w:footnote>
  <w:footnote w:type="continuationSeparator" w:id="0">
    <w:p w14:paraId="6840BBF8" w14:textId="77777777" w:rsidR="00067A1A" w:rsidRDefault="00067A1A" w:rsidP="00067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drawingGridHorizontalSpacing w:val="1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5A5"/>
    <w:rsid w:val="00067A1A"/>
    <w:rsid w:val="00074970"/>
    <w:rsid w:val="00185F00"/>
    <w:rsid w:val="00264C97"/>
    <w:rsid w:val="003220BE"/>
    <w:rsid w:val="004B0D12"/>
    <w:rsid w:val="00571EFE"/>
    <w:rsid w:val="005E1504"/>
    <w:rsid w:val="00787DBD"/>
    <w:rsid w:val="008346CA"/>
    <w:rsid w:val="0084272F"/>
    <w:rsid w:val="009E5899"/>
    <w:rsid w:val="00A575A5"/>
    <w:rsid w:val="00D170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9D1B5"/>
  <w15:chartTrackingRefBased/>
  <w15:docId w15:val="{470A700B-6303-402F-A929-82EB14AC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6CA"/>
    <w:pPr>
      <w:widowControl w:val="0"/>
      <w:spacing w:after="0" w:line="240" w:lineRule="auto"/>
    </w:pPr>
    <w:rPr>
      <w:rFonts w:ascii="Times New Roman" w:eastAsia="Times New Roman" w:hAnsi="Times New Roman" w:cs="Times New Roman"/>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46CA"/>
    <w:pPr>
      <w:widowControl/>
      <w:ind w:left="720"/>
      <w:contextualSpacing/>
    </w:pPr>
    <w:rPr>
      <w:color w:val="000000"/>
      <w:lang w:val="ru-RU" w:eastAsia="uk-UA"/>
    </w:rPr>
  </w:style>
  <w:style w:type="paragraph" w:styleId="a4">
    <w:name w:val="header"/>
    <w:basedOn w:val="a"/>
    <w:link w:val="a5"/>
    <w:uiPriority w:val="99"/>
    <w:unhideWhenUsed/>
    <w:rsid w:val="00067A1A"/>
    <w:pPr>
      <w:tabs>
        <w:tab w:val="center" w:pos="4819"/>
        <w:tab w:val="right" w:pos="9639"/>
      </w:tabs>
    </w:pPr>
  </w:style>
  <w:style w:type="character" w:customStyle="1" w:styleId="a5">
    <w:name w:val="Верхній колонтитул Знак"/>
    <w:basedOn w:val="a0"/>
    <w:link w:val="a4"/>
    <w:uiPriority w:val="99"/>
    <w:rsid w:val="00067A1A"/>
    <w:rPr>
      <w:rFonts w:ascii="Times New Roman" w:eastAsia="Times New Roman" w:hAnsi="Times New Roman" w:cs="Times New Roman"/>
      <w:kern w:val="0"/>
      <w:sz w:val="20"/>
      <w:szCs w:val="20"/>
      <w:lang w:eastAsia="ru-RU"/>
      <w14:ligatures w14:val="none"/>
    </w:rPr>
  </w:style>
  <w:style w:type="paragraph" w:styleId="a6">
    <w:name w:val="footer"/>
    <w:basedOn w:val="a"/>
    <w:link w:val="a7"/>
    <w:uiPriority w:val="99"/>
    <w:unhideWhenUsed/>
    <w:rsid w:val="00067A1A"/>
    <w:pPr>
      <w:tabs>
        <w:tab w:val="center" w:pos="4819"/>
        <w:tab w:val="right" w:pos="9639"/>
      </w:tabs>
    </w:pPr>
  </w:style>
  <w:style w:type="character" w:customStyle="1" w:styleId="a7">
    <w:name w:val="Нижній колонтитул Знак"/>
    <w:basedOn w:val="a0"/>
    <w:link w:val="a6"/>
    <w:uiPriority w:val="99"/>
    <w:rsid w:val="00067A1A"/>
    <w:rPr>
      <w:rFonts w:ascii="Times New Roman" w:eastAsia="Times New Roman" w:hAnsi="Times New Roman" w:cs="Times New Roman"/>
      <w:kern w:val="0"/>
      <w:sz w:val="20"/>
      <w:szCs w:val="20"/>
      <w:lang w:eastAsia="ru-RU"/>
      <w14:ligatures w14:val="none"/>
    </w:rPr>
  </w:style>
  <w:style w:type="paragraph" w:styleId="a8">
    <w:name w:val="Body Text Indent"/>
    <w:aliases w:val="Основной текст с отступом Знак,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Знак5 Знак2 Знак,Зн"/>
    <w:basedOn w:val="a"/>
    <w:link w:val="a9"/>
    <w:unhideWhenUsed/>
    <w:rsid w:val="00D170BE"/>
    <w:pPr>
      <w:autoSpaceDE w:val="0"/>
      <w:autoSpaceDN w:val="0"/>
      <w:spacing w:after="120"/>
      <w:ind w:left="283"/>
    </w:pPr>
    <w:rPr>
      <w:sz w:val="22"/>
      <w:szCs w:val="22"/>
      <w:lang w:eastAsia="en-US"/>
    </w:rPr>
  </w:style>
  <w:style w:type="character" w:customStyle="1" w:styleId="a9">
    <w:name w:val="Основний текст з відступом Знак"/>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5 Знак2 Знак Знак,Зн Знак"/>
    <w:basedOn w:val="a0"/>
    <w:link w:val="a8"/>
    <w:rsid w:val="00D170BE"/>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CC3C7-F3F7-4B4C-863D-5E522773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2640</Words>
  <Characters>1505</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 Передерій</dc:creator>
  <cp:keywords/>
  <dc:description/>
  <cp:lastModifiedBy>Назар Передерій</cp:lastModifiedBy>
  <cp:revision>10</cp:revision>
  <cp:lastPrinted>2024-10-04T12:27:00Z</cp:lastPrinted>
  <dcterms:created xsi:type="dcterms:W3CDTF">2024-10-02T08:18:00Z</dcterms:created>
  <dcterms:modified xsi:type="dcterms:W3CDTF">2024-10-31T08:58:00Z</dcterms:modified>
</cp:coreProperties>
</file>