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забруднюючих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речовин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в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атмосферне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 xml:space="preserve"> </w:t>
      </w:r>
      <w:proofErr w:type="spellStart"/>
      <w:r w:rsidRPr="00BA332A">
        <w:rPr>
          <w:rStyle w:val="a4"/>
          <w:bdr w:val="none" w:sz="0" w:space="0" w:color="auto" w:frame="1"/>
          <w:lang w:val="ru-RU"/>
        </w:rPr>
        <w:t>повітря</w:t>
      </w:r>
      <w:proofErr w:type="spellEnd"/>
      <w:r w:rsidRPr="00BA332A">
        <w:rPr>
          <w:rStyle w:val="a4"/>
          <w:bdr w:val="none" w:sz="0" w:space="0" w:color="auto" w:frame="1"/>
          <w:lang w:val="ru-RU"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 xml:space="preserve">04116, м. Київ, вул. </w:t>
      </w:r>
      <w:proofErr w:type="spellStart"/>
      <w:r w:rsidRPr="00A14A6D">
        <w:rPr>
          <w:bCs/>
          <w:lang w:eastAsia="x-none"/>
        </w:rPr>
        <w:t>Шолуденка</w:t>
      </w:r>
      <w:proofErr w:type="spellEnd"/>
      <w:r w:rsidRPr="00A14A6D">
        <w:rPr>
          <w:bCs/>
          <w:lang w:eastAsia="x-none"/>
        </w:rPr>
        <w:t xml:space="preserve"> 1, </w:t>
      </w:r>
      <w:proofErr w:type="spellStart"/>
      <w:r w:rsidRPr="00A14A6D">
        <w:rPr>
          <w:bCs/>
          <w:lang w:eastAsia="x-none"/>
        </w:rPr>
        <w:t>тел</w:t>
      </w:r>
      <w:proofErr w:type="spellEnd"/>
      <w:r w:rsidRPr="00A14A6D">
        <w:rPr>
          <w:bCs/>
          <w:lang w:eastAsia="x-none"/>
        </w:rPr>
        <w:t>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proofErr w:type="spellStart"/>
        <w:r w:rsidRPr="00A14A6D">
          <w:rPr>
            <w:bCs/>
            <w:lang w:val="en-US" w:eastAsia="x-none"/>
          </w:rPr>
          <w:t>grmu</w:t>
        </w:r>
        <w:proofErr w:type="spellEnd"/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proofErr w:type="spellStart"/>
        <w:r w:rsidRPr="00A14A6D">
          <w:rPr>
            <w:bCs/>
            <w:lang w:val="en-US" w:eastAsia="x-none"/>
          </w:rPr>
          <w:t>ua</w:t>
        </w:r>
        <w:proofErr w:type="spellEnd"/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</w:t>
      </w:r>
      <w:proofErr w:type="spellStart"/>
      <w:r w:rsidRPr="00A14A6D">
        <w:rPr>
          <w:bCs/>
        </w:rPr>
        <w:t>проммайданчик</w:t>
      </w:r>
      <w:r w:rsidR="00AA677E">
        <w:rPr>
          <w:bCs/>
        </w:rPr>
        <w:t>у</w:t>
      </w:r>
      <w:proofErr w:type="spellEnd"/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0701001</w:t>
      </w:r>
      <w:r w:rsidR="003D61E8">
        <w:rPr>
          <w:iCs/>
        </w:rPr>
        <w:t>2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3D61E8">
        <w:rPr>
          <w:iCs/>
        </w:rPr>
        <w:t>Грушевського,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0701001</w:t>
      </w:r>
      <w:r w:rsidR="003D61E8">
        <w:rPr>
          <w:iCs/>
        </w:rPr>
        <w:t>2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</w:t>
      </w:r>
      <w:bookmarkStart w:id="2" w:name="_GoBack"/>
      <w:bookmarkEnd w:id="2"/>
      <w:r w:rsidRPr="00E206F3">
        <w:rPr>
          <w:bCs/>
        </w:rPr>
        <w:t xml:space="preserve">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proofErr w:type="spellStart"/>
      <w:r w:rsidRPr="00A14A6D">
        <w:rPr>
          <w:bCs/>
          <w:color w:val="000000"/>
          <w:shd w:val="clear" w:color="auto" w:fill="FFFFFF"/>
        </w:rPr>
        <w:t>єктів</w:t>
      </w:r>
      <w:proofErr w:type="spellEnd"/>
      <w:r w:rsidRPr="00A14A6D">
        <w:rPr>
          <w:bCs/>
          <w:color w:val="000000"/>
          <w:shd w:val="clear" w:color="auto" w:fill="FFFFFF"/>
        </w:rPr>
        <w:t xml:space="preserve">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B33D3"/>
    <w:rsid w:val="003D61E8"/>
    <w:rsid w:val="004440D3"/>
    <w:rsid w:val="00467C87"/>
    <w:rsid w:val="004E3D20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1B2C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2541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28</cp:revision>
  <dcterms:created xsi:type="dcterms:W3CDTF">2024-01-17T18:26:00Z</dcterms:created>
  <dcterms:modified xsi:type="dcterms:W3CDTF">2024-10-29T08:36:00Z</dcterms:modified>
</cp:coreProperties>
</file>