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6B" w:rsidRDefault="00D32B6B" w:rsidP="00D32B6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  <w:bookmarkStart w:id="0" w:name="_GoBack"/>
      <w:bookmarkEnd w:id="0"/>
    </w:p>
    <w:p w:rsidR="00D32B6B" w:rsidRPr="00D06B28" w:rsidRDefault="00D32B6B" w:rsidP="00D32B6B">
      <w:pPr>
        <w:spacing w:after="0" w:line="240" w:lineRule="auto"/>
        <w:ind w:left="5103"/>
        <w:outlineLvl w:val="4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</w:pP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Додаток 2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br/>
        <w:t xml:space="preserve">До Методичних рекомендацій з підготовки звіту з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>оцінки впливу на довкілля</w:t>
      </w:r>
      <w:r w:rsidRPr="00D06B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000000"/>
          <w:lang w:eastAsia="de-DE"/>
        </w:rPr>
        <w:t xml:space="preserve"> щодо об’єктів оброблення небезпечних відходів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highlight w:val="white"/>
          <w:u w:color="000000"/>
          <w:lang w:eastAsia="de-DE"/>
        </w:rPr>
      </w:pPr>
      <w:bookmarkStart w:id="1" w:name="bookmark=id.3ygebqi"/>
      <w:bookmarkStart w:id="2" w:name="_heading=h.2dlolyb"/>
      <w:bookmarkEnd w:id="1"/>
      <w:bookmarkEnd w:id="2"/>
      <w:r w:rsidRPr="00D06B28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highlight w:val="white"/>
          <w:u w:color="000000"/>
          <w:lang w:eastAsia="de-DE"/>
        </w:rPr>
        <w:t xml:space="preserve">Загальні рекомендації до оцінки токсичності небезпечних відходів 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u w:color="000000"/>
          <w:lang w:eastAsia="de-DE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В оцінці токсичності відходу або його складника (хімічної речовини) рекомендується використовувати загальноприйняті у галузі хімічної безпеки підходи, зокрема, встановлені Регламентом (ЄС) № 1907/2006 Європейського Парламенту та Ради від 18 грудня 2006 року про реєстрацію, оцінку, дозвіл та обмеження використання хімічних речовин (REACH):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рекомендується надавати (за наявності) інформацію про токсичність на основі даних тестувань, проведених на водних та/або наземних організмах. Така інформація включає дані про токсичність для водного середовища, зокрема, гостру та хронічну токсичність для риб, ракоподібних, водоростей та інших водних рослин (наприклад, див. секцію «Е» таблиці, а також пп. 40-45 примітки до таблиці 2 «Порогові маси небезпечних речовин за класами небезпечних речовин та категоріями небезпеки» додатку 1 до Порядку ідентифікації об’єктів підвищеної небезпеки та ведення їх обліку, затвердженого постановою Кабінету Міністрів України від 13.09.2022 р. № 1030); дані про токсичність для ґрунтових мікро- і макроорганізмів та інших екологічно важливих груп організмів, таких як птахи, бджоли, рослини. Якщо речовина або суміш має </w:t>
      </w:r>
      <w:proofErr w:type="spellStart"/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інгібуючий</w:t>
      </w:r>
      <w:proofErr w:type="spellEnd"/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вплив на активність мікроорганізмів, рекомендується оцінити ймовірний вплив на споруди очищення стічних вод. Інформація про токсичність може включати інші дані відповідно до переліку токсикологічної та екотоксикологічної інформації у додатках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VIII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-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val="en-US" w:eastAsia="uk-UA" w:bidi="hi-IN"/>
        </w:rPr>
        <w:t>IX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до Регламенту (ЄС) № 1907/2006 (REACH).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Ступінь токсичності відходів може бути визначено:</w:t>
      </w:r>
    </w:p>
    <w:p w:rsidR="00D32B6B" w:rsidRPr="00D06B28" w:rsidRDefault="00D32B6B" w:rsidP="00D32B6B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bookmarkStart w:id="3" w:name="bookmark=id.4bvk7pj"/>
      <w:bookmarkEnd w:id="3"/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експериментальним шляхом, на дослідних живих тест-об’єктах (тварини, водорості та інші рослини, мікроорганізми), згідно з національними або міжнародними стандартами;</w:t>
      </w:r>
    </w:p>
    <w:p w:rsidR="00D32B6B" w:rsidRPr="00D06B28" w:rsidRDefault="00D32B6B" w:rsidP="00D32B6B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bookmarkStart w:id="4" w:name="bookmark=id.2r0uhxc"/>
      <w:bookmarkEnd w:id="4"/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розрахунковим методом, з урахуванням розрахункових напівлетальних доз (LD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50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) або Нормативів гранично допустимих концентрацій небезпечних речовин у ґрунтах, а також переліку таких речовин, затверджених постановою Кабінету Міністрів України від 15.12.2021 № 1325</w:t>
      </w:r>
      <w:bookmarkStart w:id="5" w:name="bookmark=id.1664s55"/>
      <w:bookmarkEnd w:id="5"/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, якщо відомий фізико-хімічний склад відходу.</w:t>
      </w:r>
    </w:p>
    <w:p w:rsidR="00D32B6B" w:rsidRPr="00D06B28" w:rsidRDefault="00D32B6B" w:rsidP="00D32B6B">
      <w:pPr>
        <w:keepNext/>
        <w:keepLines/>
        <w:widowControl w:val="0"/>
        <w:suppressAutoHyphens/>
        <w:spacing w:before="24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  <w:lang w:eastAsia="uk-UA" w:bidi="hi-IN"/>
        </w:rPr>
        <w:t xml:space="preserve">Визначення </w:t>
      </w:r>
      <w:r w:rsidRPr="00D06B28">
        <w:rPr>
          <w:rFonts w:ascii="Times New Roman" w:eastAsia="Times New Roman" w:hAnsi="Times New Roman" w:cs="Times New Roman"/>
          <w:b/>
          <w:color w:val="000000"/>
          <w:kern w:val="2"/>
          <w:sz w:val="24"/>
          <w:highlight w:val="white"/>
          <w:u w:color="000000"/>
          <w:lang w:eastAsia="uk-UA" w:bidi="hi-IN"/>
        </w:rPr>
        <w:t xml:space="preserve">ступеня токсичності </w:t>
      </w:r>
      <w:r w:rsidRPr="00D06B28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  <w:lang w:eastAsia="uk-UA" w:bidi="hi-IN"/>
        </w:rPr>
        <w:t>відходів розрахунковим методом за LD</w:t>
      </w:r>
      <w:r w:rsidRPr="00D06B28">
        <w:rPr>
          <w:rFonts w:ascii="Times New Roman" w:eastAsia="Times New Roman" w:hAnsi="Times New Roman" w:cs="Times New Roman"/>
          <w:b/>
          <w:color w:val="000000"/>
          <w:kern w:val="2"/>
          <w:sz w:val="24"/>
          <w:u w:color="000000"/>
          <w:vertAlign w:val="subscript"/>
          <w:lang w:eastAsia="uk-UA" w:bidi="hi-IN"/>
        </w:rPr>
        <w:t>50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Ступінь токсичності відходу за 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50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визначається згідно з формулами 1 і 2.</w:t>
      </w:r>
    </w:p>
    <w:p w:rsidR="00D32B6B" w:rsidRPr="00D06B28" w:rsidRDefault="00286EE6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m:t>K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m:t>i</m:t>
            </m:r>
          </m:sub>
        </m:sSub>
        <m:r>
          <w:rPr>
            <w:rFonts w:ascii="Cambria Math" w:eastAsia="Cambria Math" w:hAnsi="Cambria Math" w:cs="Cambria Math"/>
            <w:color w:val="000000"/>
            <w:kern w:val="2"/>
            <w:sz w:val="24"/>
            <w:szCs w:val="24"/>
            <w:u w:color="000000"/>
            <w:lang w:eastAsia="uk-UA" w:bidi="hi-IN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m:t>lg⁡(</m:t>
            </m:r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kern w:val="2"/>
                    <w:sz w:val="24"/>
                    <w:szCs w:val="24"/>
                    <w:u w:color="000000"/>
                    <w:lang w:eastAsia="uk-UA" w:bidi="hi-IN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kern w:val="2"/>
                    <w:sz w:val="24"/>
                    <w:szCs w:val="24"/>
                    <w:u w:color="000000"/>
                    <w:lang w:eastAsia="uk-UA" w:bidi="hi-IN"/>
                  </w:rPr>
                  <m:t>LD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kern w:val="2"/>
                    <w:sz w:val="24"/>
                    <w:szCs w:val="24"/>
                    <w:u w:color="000000"/>
                    <w:lang w:eastAsia="uk-UA" w:bidi="hi-IN"/>
                  </w:rPr>
                  <m:t>50 i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m:t>)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m:t>(S+0,1F+</m:t>
            </m:r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  <w:kern w:val="2"/>
                    <w:sz w:val="24"/>
                    <w:szCs w:val="24"/>
                    <w:u w:color="000000"/>
                    <w:lang w:eastAsia="uk-UA" w:bidi="hi-IN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  <w:kern w:val="2"/>
                    <w:sz w:val="24"/>
                    <w:szCs w:val="24"/>
                    <w:u w:color="000000"/>
                    <w:lang w:eastAsia="uk-UA" w:bidi="hi-IN"/>
                  </w:rPr>
                  <m:t>C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  <w:kern w:val="2"/>
                    <w:sz w:val="24"/>
                    <w:szCs w:val="24"/>
                    <w:u w:color="000000"/>
                    <w:lang w:eastAsia="uk-UA" w:bidi="hi-IN"/>
                  </w:rPr>
                  <m:t>вi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m:t>)</m:t>
            </m:r>
          </m:den>
        </m:f>
      </m:oMath>
      <w:r w:rsidR="00D32B6B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</w:t>
      </w:r>
      <w:r w:rsidR="00D32B6B"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ab/>
        <w:t>(1)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де: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 xml:space="preserve">i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 індекс токсичності кожної хімічної речовини, що входить до складу відходу, величину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 xml:space="preserve">i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округлюють до першого знаку після коми; lg(LD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50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) – логарифм середньої напівлетальної дози певної хімічної речовини при введенні в шлунок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br/>
        <w:t>(LD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50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визначають за довідниками); 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B6FD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S – коефіцієнт, який відображає розчинність хімічної речовини у воді (за довідниками визначають розчинність хімічної речовини у грамах на 100 г води при температурі 25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perscript"/>
          <w:lang w:eastAsia="uk-UA" w:bidi="hi-IN"/>
        </w:rPr>
        <w:t>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C, знайдену величину ділять на 100 і отримують безрозмірний коефіцієнт S, який у більшості випадків знаходиться в інтервалі від 0 до 1); 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B6FD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F – коефіцієнт леткості хімічної речовини. За довідниками визначають тиск насиченої пари, в мм рт. ст. при температурі 25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perscript"/>
          <w:lang w:eastAsia="uk-UA" w:bidi="hi-IN"/>
        </w:rPr>
        <w:t>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C, щодо інгредієнтів відходу, що мають температуру кипіння при 760 мм рт. ст. не вище 80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perscript"/>
          <w:lang w:eastAsia="uk-UA" w:bidi="hi-IN"/>
        </w:rPr>
        <w:t>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C; одержану величину ділять на 760 і отримують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lastRenderedPageBreak/>
        <w:t xml:space="preserve">безрозмірну величину F, яка знаходиться в інтервалі від 0 до 1); 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proofErr w:type="spellStart"/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C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  <w:vertAlign w:val="subscript"/>
          <w:lang w:eastAsia="uk-UA" w:bidi="hi-IN"/>
        </w:rPr>
        <w:t>в</w:t>
      </w:r>
      <w:proofErr w:type="spellEnd"/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– масовий вміст даної хімічної речовини (інгредієнта) у загальній масі відходу, в т/т;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i – порядковий номер конкретної хімічної речовини (інгредієнта). 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Після розрахунку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 xml:space="preserve">i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для кожної з токсичних хімічних речовин-інгредієнтів відходу, за формулою 2 розраховують сумарний індекс небезпеки. Для цього вибирають не більше 3, але не менше 2 основних токсичних хімічних речовин, які мають найменші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i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. При цьому, повинні виконуватися дві умови: 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1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&lt;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2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&lt;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3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: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2 *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1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&gt;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3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. 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B6FD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(сігма)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 = 1/2(сума)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 xml:space="preserve">i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 xml:space="preserve">n &lt;= 3,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ab/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ab/>
        <w:t>(2),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1B6FD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де K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 xml:space="preserve">(сігма)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– сумарний індекс небезпеки.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Ступінь токсичності визначається за сумарним індексом небезпеки згідно з таблицею: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Таблиця 1. Ступінь токсичності відходів за 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50</w:t>
      </w:r>
    </w:p>
    <w:tbl>
      <w:tblPr>
        <w:tblW w:w="62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3"/>
        <w:gridCol w:w="3131"/>
      </w:tblGrid>
      <w:tr w:rsidR="00D32B6B" w:rsidRPr="00D06B28" w:rsidTr="00690BF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Величина K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vertAlign w:val="subscript"/>
                <w:lang w:eastAsia="uk-UA" w:bidi="hi-IN"/>
              </w:rPr>
              <w:t>сігма)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Ступінь токсичності</w:t>
            </w:r>
          </w:p>
        </w:tc>
      </w:tr>
      <w:tr w:rsidR="00D32B6B" w:rsidRPr="00D06B28" w:rsidTr="00690BF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Менше 1,3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 xml:space="preserve">Надзвичайно небезпечні </w:t>
            </w:r>
          </w:p>
        </w:tc>
      </w:tr>
      <w:tr w:rsidR="00D32B6B" w:rsidRPr="00D06B28" w:rsidTr="00690BF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Від 1,3 до 3,3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Високонебезпечні</w:t>
            </w:r>
          </w:p>
        </w:tc>
      </w:tr>
      <w:tr w:rsidR="00D32B6B" w:rsidRPr="00D06B28" w:rsidTr="00690BF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Від 3,4 до 10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Помірно небезпечні</w:t>
            </w:r>
          </w:p>
        </w:tc>
      </w:tr>
      <w:tr w:rsidR="00D32B6B" w:rsidRPr="00D06B28" w:rsidTr="00690BF5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Від 10 і більше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lang w:eastAsia="uk-UA" w:bidi="hi-IN"/>
              </w:rPr>
              <w:t>Малонебезпечні</w:t>
            </w:r>
          </w:p>
        </w:tc>
      </w:tr>
    </w:tbl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Якщо для хімічних речовин-інгредієнтів відходу не встановлено 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50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, але встановлено клас небезпеки цих речовин у повітрі робочої зони, то у формулі 1 замість 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 xml:space="preserve">50 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використовують значення, що вважаються еквівалентними за класом небезпеки у повітрі робочої зони: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</w:pP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</w:pP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uk-UA" w:bidi="hi-IN"/>
        </w:rPr>
        <w:t>Таблиця 2. Класи небезпеки у повітрі робочої зони та відповідні їм еквівалентні величини LD</w:t>
      </w:r>
      <w:r w:rsidRPr="00D06B2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vertAlign w:val="subscript"/>
          <w:lang w:eastAsia="uk-UA" w:bidi="hi-IN"/>
        </w:rPr>
        <w:t>50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3262"/>
        <w:gridCol w:w="3082"/>
      </w:tblGrid>
      <w:tr w:rsidR="00D32B6B" w:rsidRPr="00D06B28" w:rsidTr="00690BF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  <w:vertAlign w:val="subscript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 xml:space="preserve">Клас небезпеки у повітрі робочої зони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Еквівалент LD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vertAlign w:val="subscript"/>
                <w:lang w:eastAsia="uk-UA" w:bidi="hi-IN"/>
              </w:rPr>
              <w:t>50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lg(LD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vertAlign w:val="subscript"/>
                <w:lang w:eastAsia="uk-UA" w:bidi="hi-IN"/>
              </w:rPr>
              <w:t>50</w:t>
            </w: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)</w:t>
            </w:r>
          </w:p>
        </w:tc>
      </w:tr>
      <w:tr w:rsidR="00D32B6B" w:rsidRPr="00D06B28" w:rsidTr="00690BF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15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 xml:space="preserve">1,176 </w:t>
            </w:r>
          </w:p>
        </w:tc>
      </w:tr>
      <w:tr w:rsidR="00D32B6B" w:rsidRPr="00D06B28" w:rsidTr="00690BF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II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150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2,176</w:t>
            </w:r>
          </w:p>
        </w:tc>
      </w:tr>
      <w:tr w:rsidR="00D32B6B" w:rsidRPr="00D06B28" w:rsidTr="00690BF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III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5000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3,699</w:t>
            </w:r>
          </w:p>
        </w:tc>
      </w:tr>
      <w:tr w:rsidR="00D32B6B" w:rsidRPr="00D06B28" w:rsidTr="00690BF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IV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5000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B6B" w:rsidRPr="00D06B28" w:rsidRDefault="00D32B6B" w:rsidP="00690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</w:pPr>
            <w:r w:rsidRPr="00D06B2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highlight w:val="white"/>
                <w:u w:color="000000"/>
                <w:lang w:eastAsia="uk-UA" w:bidi="hi-IN"/>
              </w:rPr>
              <w:t>&gt;3,778</w:t>
            </w:r>
          </w:p>
        </w:tc>
      </w:tr>
    </w:tbl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u w:color="000000"/>
          <w:lang w:eastAsia="uk-UA" w:bidi="hi-IN"/>
        </w:rPr>
      </w:pPr>
    </w:p>
    <w:p w:rsidR="00D32B6B" w:rsidRPr="00D06B28" w:rsidRDefault="00D32B6B" w:rsidP="00D32B6B">
      <w:pPr>
        <w:suppressAutoHyphens/>
        <w:spacing w:before="120" w:after="0" w:line="240" w:lineRule="auto"/>
        <w:ind w:firstLine="567"/>
        <w:rPr>
          <w:rFonts w:ascii="Antiqua" w:eastAsia="Antiqua" w:hAnsi="Antiqua" w:cs="Antiqua"/>
          <w:color w:val="000000"/>
          <w:kern w:val="2"/>
          <w:sz w:val="26"/>
          <w:szCs w:val="26"/>
          <w:u w:color="000000"/>
          <w:lang w:eastAsia="uk-UA" w:bidi="hi-IN"/>
        </w:rPr>
      </w:pPr>
      <w:r w:rsidRPr="00D06B28">
        <w:rPr>
          <w:rFonts w:ascii="Calibri" w:eastAsia="Calibri" w:hAnsi="Calibri" w:cs="Calibri"/>
          <w:color w:val="000000"/>
          <w:kern w:val="2"/>
          <w:sz w:val="24"/>
          <w:szCs w:val="26"/>
          <w:u w:color="000000"/>
          <w:lang w:eastAsia="uk-UA" w:bidi="hi-IN"/>
        </w:rPr>
        <w:t>________________________________________________________________</w:t>
      </w:r>
    </w:p>
    <w:p w:rsidR="00D32B6B" w:rsidRPr="00D06B28" w:rsidRDefault="00D32B6B" w:rsidP="00D32B6B">
      <w:pPr>
        <w:widowControl w:val="0"/>
        <w:suppressAutoHyphens/>
        <w:spacing w:after="0" w:line="240" w:lineRule="auto"/>
        <w:ind w:firstLine="567"/>
        <w:jc w:val="both"/>
        <w:rPr>
          <w:rFonts w:ascii="Antiqua" w:eastAsia="Antiqua" w:hAnsi="Antiqua" w:cs="Antiqua"/>
          <w:color w:val="000000"/>
          <w:kern w:val="2"/>
          <w:sz w:val="26"/>
          <w:szCs w:val="26"/>
          <w:u w:color="000000"/>
          <w:lang w:eastAsia="uk-UA" w:bidi="hi-IN"/>
        </w:rPr>
      </w:pPr>
    </w:p>
    <w:p w:rsidR="000345F1" w:rsidRDefault="000345F1"/>
    <w:sectPr w:rsidR="000345F1" w:rsidSect="00D32B6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6B" w:rsidRDefault="00D32B6B" w:rsidP="00D32B6B">
      <w:pPr>
        <w:spacing w:after="0" w:line="240" w:lineRule="auto"/>
      </w:pPr>
      <w:r>
        <w:separator/>
      </w:r>
    </w:p>
  </w:endnote>
  <w:endnote w:type="continuationSeparator" w:id="0">
    <w:p w:rsidR="00D32B6B" w:rsidRDefault="00D32B6B" w:rsidP="00D3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6B" w:rsidRDefault="00D32B6B" w:rsidP="00D32B6B">
      <w:pPr>
        <w:spacing w:after="0" w:line="240" w:lineRule="auto"/>
      </w:pPr>
      <w:r>
        <w:separator/>
      </w:r>
    </w:p>
  </w:footnote>
  <w:footnote w:type="continuationSeparator" w:id="0">
    <w:p w:rsidR="00D32B6B" w:rsidRDefault="00D32B6B" w:rsidP="00D3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811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2B6B" w:rsidRPr="00D32B6B" w:rsidRDefault="00D32B6B">
        <w:pPr>
          <w:pStyle w:val="a3"/>
          <w:jc w:val="center"/>
          <w:rPr>
            <w:rFonts w:ascii="Times New Roman" w:hAnsi="Times New Roman" w:cs="Times New Roman"/>
          </w:rPr>
        </w:pPr>
        <w:r w:rsidRPr="00D32B6B">
          <w:rPr>
            <w:rFonts w:ascii="Times New Roman" w:hAnsi="Times New Roman" w:cs="Times New Roman"/>
          </w:rPr>
          <w:fldChar w:fldCharType="begin"/>
        </w:r>
        <w:r w:rsidRPr="00D32B6B">
          <w:rPr>
            <w:rFonts w:ascii="Times New Roman" w:hAnsi="Times New Roman" w:cs="Times New Roman"/>
          </w:rPr>
          <w:instrText>PAGE   \* MERGEFORMAT</w:instrText>
        </w:r>
        <w:r w:rsidRPr="00D32B6B">
          <w:rPr>
            <w:rFonts w:ascii="Times New Roman" w:hAnsi="Times New Roman" w:cs="Times New Roman"/>
          </w:rPr>
          <w:fldChar w:fldCharType="separate"/>
        </w:r>
        <w:r w:rsidR="00286EE6" w:rsidRPr="00286EE6">
          <w:rPr>
            <w:rFonts w:ascii="Times New Roman" w:hAnsi="Times New Roman" w:cs="Times New Roman"/>
            <w:noProof/>
            <w:lang w:val="ru-RU"/>
          </w:rPr>
          <w:t>2</w:t>
        </w:r>
        <w:r w:rsidRPr="00D32B6B">
          <w:rPr>
            <w:rFonts w:ascii="Times New Roman" w:hAnsi="Times New Roman" w:cs="Times New Roman"/>
          </w:rPr>
          <w:fldChar w:fldCharType="end"/>
        </w:r>
      </w:p>
    </w:sdtContent>
  </w:sdt>
  <w:p w:rsidR="00D32B6B" w:rsidRDefault="00D32B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52D17"/>
    <w:multiLevelType w:val="multilevel"/>
    <w:tmpl w:val="7D9EAA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9F"/>
    <w:rsid w:val="000345F1"/>
    <w:rsid w:val="000D4A9F"/>
    <w:rsid w:val="00286EE6"/>
    <w:rsid w:val="00314F4F"/>
    <w:rsid w:val="00B968D3"/>
    <w:rsid w:val="00D32B6B"/>
    <w:rsid w:val="00F0758D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AE0DA-CF61-4ED4-AD84-8316FB9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B6B"/>
  </w:style>
  <w:style w:type="paragraph" w:styleId="a5">
    <w:name w:val="footer"/>
    <w:basedOn w:val="a"/>
    <w:link w:val="a6"/>
    <w:uiPriority w:val="99"/>
    <w:unhideWhenUsed/>
    <w:rsid w:val="00D32B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B6B"/>
  </w:style>
  <w:style w:type="paragraph" w:styleId="a7">
    <w:name w:val="Balloon Text"/>
    <w:basedOn w:val="a"/>
    <w:link w:val="a8"/>
    <w:uiPriority w:val="99"/>
    <w:semiHidden/>
    <w:unhideWhenUsed/>
    <w:rsid w:val="0028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6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2984</Words>
  <Characters>1701</Characters>
  <Application>Microsoft Office Word</Application>
  <DocSecurity>4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ВЕДМІДЬ Анастасія Іванівна</dc:creator>
  <cp:keywords/>
  <dc:description/>
  <cp:lastModifiedBy>Ульвак Марина Вікторівна</cp:lastModifiedBy>
  <cp:revision>2</cp:revision>
  <cp:lastPrinted>2024-12-02T08:26:00Z</cp:lastPrinted>
  <dcterms:created xsi:type="dcterms:W3CDTF">2024-12-02T08:26:00Z</dcterms:created>
  <dcterms:modified xsi:type="dcterms:W3CDTF">2024-12-02T08:26:00Z</dcterms:modified>
</cp:coreProperties>
</file>