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B" w:rsidRPr="00D06B28" w:rsidRDefault="003F6E0B" w:rsidP="003F6E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de-DE"/>
        </w:rPr>
      </w:pPr>
      <w:bookmarkStart w:id="0" w:name="_GoBack"/>
      <w:bookmarkEnd w:id="0"/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  <w:bookmarkStart w:id="1" w:name="_heading=h.1rvwp1q"/>
      <w:bookmarkStart w:id="2" w:name="_heading=h.3q5sasy"/>
      <w:bookmarkEnd w:id="1"/>
      <w:bookmarkEnd w:id="2"/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Додаток 5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br/>
        <w:t xml:space="preserve">До Методичних рекомендацій з підготовки звіту з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оцінки впливу на довкілля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 xml:space="preserve"> щодо об’єктів оброблення небезпечних відходів</w:t>
      </w:r>
    </w:p>
    <w:p w:rsidR="00EE618B" w:rsidRPr="00D06B28" w:rsidRDefault="00EE618B" w:rsidP="00EE618B">
      <w:pPr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color="000000"/>
          <w:lang w:eastAsia="de-DE"/>
        </w:rPr>
      </w:pPr>
      <w:r w:rsidRPr="00D06B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color="000000"/>
          <w:lang w:eastAsia="de-DE"/>
        </w:rPr>
        <w:t>Рекомендації щодо оцінки ризиків при здійсненні оцінки впливу на довкілля</w:t>
      </w:r>
    </w:p>
    <w:p w:rsidR="00EE618B" w:rsidRPr="00D06B28" w:rsidRDefault="00EE618B" w:rsidP="00EE61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Оцінку ризиків рекомендується застосовувати до опису та оцінки ймовірних небезпек для здоров’я населення, ґрунтів і підземних вод, інших ймовірних небезпек для довкілля виходячи з характеристик ПД, і щодо настання небезпечних наслідків для яких існує певна невизначеність, варіативність сценаріїв подій, і різний характер негативних наслідків в залежності від вихідних (початкових) умов. </w:t>
      </w:r>
    </w:p>
    <w:p w:rsidR="00EE618B" w:rsidRPr="00D06B28" w:rsidRDefault="00EE618B" w:rsidP="00EE61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Для оцінки ризику рекомендується ідентифікувати небезпеки (небезпечні фактори); ідентифікувати негативні наслідки, що викликаються цими небезпеками в залежності від рівня дії (експозиції, дози) останніх; визначити ймовірні сценарії подій; оцінити ймовірність виникнення певного негативного наслідку (ефекту) та порівняти це оціночне значення з гранично допустимим рівнем ризику (рівнем прийнятності ризику).</w:t>
      </w:r>
    </w:p>
    <w:p w:rsidR="00EE618B" w:rsidRPr="00D06B28" w:rsidRDefault="00EE618B" w:rsidP="00EE61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Рекомендується проаналізувати різні небезпеки, що можуть бути пов’язані з об’єктами оброблення НВ, наприклад, аварії на об’єкті з екологічними наслідками, забруднення повітря, небезпечне для здоров’я людини, забруднення водного об’єкта, ґрунтів та підземних вод.</w:t>
      </w:r>
    </w:p>
    <w:p w:rsidR="00EE618B" w:rsidRPr="00D06B28" w:rsidRDefault="00EE618B" w:rsidP="00EE61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Сценарії подій будуються як система причинно-наслідкових зв'язків між подіями та їх кінцевими станами (ефектами), де для кожної події та її ефекту може бути визначено ймовірність їх настання. </w:t>
      </w:r>
    </w:p>
    <w:p w:rsidR="00EE618B" w:rsidRPr="00D06B28" w:rsidRDefault="00EE618B" w:rsidP="00EE61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shd w:val="clear" w:color="auto" w:fill="FFFFFF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shd w:val="clear" w:color="auto" w:fill="FFFFFF"/>
          <w:lang w:eastAsia="uk-UA" w:bidi="hi-IN"/>
        </w:rPr>
        <w:t xml:space="preserve">Для оцінки ризиків допускається використовувати різні відомі у науково-технічній, нормативно-технічній і методичній літературі методи розрахунку й оцінки небезпек, наслідків і ризику (ймовірності);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u w:color="000000"/>
          <w:lang w:eastAsia="uk-UA" w:bidi="hi-IN"/>
        </w:rPr>
        <w:t>рекомендується використовувати термінологію відповідно до Закону України «Про об’єкти підвищеної небезпеки»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та іншого законодавства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shd w:val="clear" w:color="auto" w:fill="FFFFFF"/>
          <w:lang w:eastAsia="uk-UA" w:bidi="hi-IN"/>
        </w:rPr>
        <w:t>. Також р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екомендується ознайомитися з методичним підходом до оцінювання ризиків, викладеним у Методиці визначення ризиків та їх прийнятних рів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нів для декларування безпеки об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’єктів підвищеної небезпеки, затвердженій наказом Міністерства праці та соціальної політики України від 04.12.2002 № 637, погодженим Міністерством з питань надзвичайних ситуацій, Міністерством внутрішніх справ, Міністерством екології та природних ресурсів, Міністерством охорони здоров'я, Державним комітетом з будівництва та архітектури, а також міжнародними і національними стандартами з оцінювання та управління ризиками.</w:t>
      </w:r>
    </w:p>
    <w:p w:rsidR="00EE618B" w:rsidRPr="00D06B28" w:rsidRDefault="00EE618B" w:rsidP="00EE61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shd w:val="clear" w:color="auto" w:fill="FFFFFF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shd w:val="clear" w:color="auto" w:fill="FFFFFF"/>
          <w:lang w:eastAsia="uk-UA" w:bidi="hi-IN"/>
        </w:rPr>
        <w:t>Якщо при аналізі певного об’єкта чи сценарію виявляється будь-яка невизначеність або найменша імовірність щодо виникнення небезпечної події, то рекомендується обирати для оцінки найгірший сценарій розвитку події. Наприклад, якщо передбачається зберігання НВ у закритій тарі, але на відкритому майданчику, то слід розглянути ймовірність та наслідки сценарію, за яким відбувається випадкове або аварійне просипання (протікання) максимально допустимої для зберігання маси НВ на відкриту поверхню і їх подальше змивання з поверхневими стічними водами.</w:t>
      </w:r>
    </w:p>
    <w:p w:rsidR="00EE618B" w:rsidRPr="00D06B28" w:rsidRDefault="00EE618B" w:rsidP="00EE61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Значимість (тяжкість) кінцевого стану (ефекту) внаслідок забруднення чи настання іншої небезпечної події рекомендується визначати за:</w:t>
      </w:r>
    </w:p>
    <w:p w:rsidR="00EE618B" w:rsidRPr="00EE618B" w:rsidRDefault="00EE618B" w:rsidP="00EE618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EE6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чисельністю населення, що потрапляє під експозицію високих доз забруднення чи іншої небезпеки;</w:t>
      </w:r>
    </w:p>
    <w:p w:rsidR="00EE618B" w:rsidRPr="00EE618B" w:rsidRDefault="00EE618B" w:rsidP="00EE618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EE6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характером наслідків для людей, наприклад, збитки майну, шкода здоров’ю чи висока ймовірність смерті людини;</w:t>
      </w:r>
    </w:p>
    <w:p w:rsidR="00EE618B" w:rsidRPr="00EE618B" w:rsidRDefault="00EE618B" w:rsidP="00EE618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EE6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характером шкоди для природного об’єкта, наприклад, його фізичний стан буде порушено на тривалий час але зі зворотним ефектом, об’єкт буде повністю знищений або його чекає поступова невідворотна деградація у наступні кілька років;</w:t>
      </w:r>
    </w:p>
    <w:p w:rsidR="00EE618B" w:rsidRPr="00EE618B" w:rsidRDefault="00EE618B" w:rsidP="00EE618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EE6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lastRenderedPageBreak/>
        <w:t>можливістю (чи відсутністю можливості) швидко позбутися негативних ефектів. Наприклад, для локалізації та ліквідації наслідків існують ефективні та доступні технології, або забруднення даного типу знешкоджується у природі за прийнятний проміжок часу, або, навпаки, технології та можливості для локалізації забруднення даного типу чи масштабу відсутні;</w:t>
      </w:r>
    </w:p>
    <w:p w:rsidR="00EE618B" w:rsidRPr="00EE618B" w:rsidRDefault="00EE618B" w:rsidP="00EE618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EE618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за категоріями і правовим охоронним статусом об’єктів, що потрапляють під експозицію забруднення. Наприклад, високий охоронний статус у рідкісних, зникаючих та цінних для господарської діяльності тварин і рослин, природно-заповідних територій, джерел централізованого водопостачання, об’єктів культурної спадщини.</w:t>
      </w:r>
    </w:p>
    <w:p w:rsidR="00EE618B" w:rsidRPr="00D06B28" w:rsidRDefault="00EE618B" w:rsidP="00EE61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Ідентифікацію та оцінку ризиків рекомендується використовувати для планування заходів, необхідних для зниження екологічних ризиків до прийнятного рівня.</w:t>
      </w:r>
    </w:p>
    <w:p w:rsidR="00EE618B" w:rsidRPr="00D06B28" w:rsidRDefault="00EE618B" w:rsidP="00EE61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Для оцінювання ризиків, пов’язаних з надзвичайними ситуаціями, рекомендується здійснити аналіз послідовності подій, що призводять до виникнення НС, а саме: </w:t>
      </w:r>
    </w:p>
    <w:p w:rsidR="00EE618B" w:rsidRPr="00206679" w:rsidRDefault="00EE618B" w:rsidP="00EE618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</w:pPr>
      <w:r w:rsidRPr="00206679"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  <w:t xml:space="preserve">ідентифікувати НС, визначити її причини (механізм виникнення); </w:t>
      </w:r>
    </w:p>
    <w:p w:rsidR="00EE618B" w:rsidRPr="00206679" w:rsidRDefault="00EE618B" w:rsidP="00EE618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</w:pPr>
      <w:r w:rsidRPr="00206679"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  <w:t xml:space="preserve">визначити початкову подію та оцінити ймовірність її появи; </w:t>
      </w:r>
    </w:p>
    <w:p w:rsidR="00EE618B" w:rsidRPr="00206679" w:rsidRDefault="00EE618B" w:rsidP="00EE618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</w:pPr>
      <w:r w:rsidRPr="00206679"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  <w:t xml:space="preserve">визначити шлях(и) розвитку початкової події (сценарій), побудувати «дерево подій»; </w:t>
      </w:r>
    </w:p>
    <w:p w:rsidR="00EE618B" w:rsidRPr="00206679" w:rsidRDefault="00EE618B" w:rsidP="00EE618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</w:pPr>
      <w:r w:rsidRPr="00206679"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  <w:t xml:space="preserve">оцінити (розрахувати) ймовірність кожного шляху (сценарію); </w:t>
      </w:r>
    </w:p>
    <w:p w:rsidR="00EE618B" w:rsidRPr="00206679" w:rsidRDefault="00EE618B" w:rsidP="00EE618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</w:pPr>
      <w:r w:rsidRPr="00206679"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  <w:t xml:space="preserve">визначити кінцеві стани, до яких може призвести певний шлях розвитку початкової події і які є небезпечними для довкілля; </w:t>
      </w:r>
    </w:p>
    <w:p w:rsidR="00EE618B" w:rsidRPr="00206679" w:rsidRDefault="00EE618B" w:rsidP="00EE618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</w:pPr>
      <w:r w:rsidRPr="00206679"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  <w:t xml:space="preserve">проаналізувати ймовірні кінцеві стани і визначити неприйнятні; </w:t>
      </w:r>
    </w:p>
    <w:p w:rsidR="00EE618B" w:rsidRPr="00206679" w:rsidRDefault="00EE618B" w:rsidP="00EE618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</w:pPr>
      <w:r w:rsidRPr="00206679"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  <w:t xml:space="preserve">оцінити (розрахувати) ймовірність виникнення кожного з кінцевих станів; </w:t>
      </w:r>
    </w:p>
    <w:p w:rsidR="00EE618B" w:rsidRPr="00206679" w:rsidRDefault="00EE618B" w:rsidP="00EE618B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</w:pPr>
      <w:r w:rsidRPr="00206679">
        <w:rPr>
          <w:rFonts w:ascii="Times New Roman" w:eastAsia="Calibri" w:hAnsi="Times New Roman" w:cs="Times New Roman"/>
          <w:color w:val="000000"/>
          <w:kern w:val="2"/>
          <w:sz w:val="24"/>
          <w:u w:color="000000"/>
          <w:lang w:bidi="hi-IN"/>
        </w:rPr>
        <w:t>оцінити за якістю та кількістю ймовірні негативні наслідки (збитки, втрати).</w:t>
      </w:r>
    </w:p>
    <w:p w:rsidR="00EE618B" w:rsidRPr="00D06B28" w:rsidRDefault="00EE618B" w:rsidP="00EE618B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both"/>
        <w:rPr>
          <w:rFonts w:ascii="Calibri" w:eastAsia="Calibri" w:hAnsi="Calibri" w:cs="Times New Roman"/>
          <w:color w:val="000000"/>
          <w:kern w:val="2"/>
          <w:u w:color="000000"/>
          <w:lang w:bidi="hi-IN"/>
        </w:rPr>
      </w:pPr>
    </w:p>
    <w:p w:rsidR="00EE618B" w:rsidRPr="00D06B28" w:rsidRDefault="00EE618B" w:rsidP="00EE618B">
      <w:pPr>
        <w:suppressAutoHyphens/>
        <w:spacing w:before="120" w:after="0" w:line="240" w:lineRule="auto"/>
        <w:ind w:firstLine="567"/>
        <w:jc w:val="center"/>
        <w:rPr>
          <w:rFonts w:ascii="Calibri" w:eastAsia="Calibri" w:hAnsi="Calibri" w:cs="Calibri"/>
          <w:color w:val="000000"/>
          <w:kern w:val="2"/>
          <w:sz w:val="20"/>
          <w:szCs w:val="26"/>
          <w:u w:color="000000"/>
          <w:lang w:eastAsia="uk-UA" w:bidi="hi-IN"/>
        </w:rPr>
      </w:pPr>
      <w:r w:rsidRPr="00D06B28">
        <w:rPr>
          <w:rFonts w:ascii="Calibri" w:eastAsia="Antiqua" w:hAnsi="Calibri" w:cs="Antiqua"/>
          <w:color w:val="000000"/>
          <w:kern w:val="2"/>
          <w:sz w:val="20"/>
          <w:szCs w:val="26"/>
          <w:u w:color="000000"/>
          <w:lang w:eastAsia="uk-UA" w:bidi="hi-IN"/>
        </w:rPr>
        <w:t>____________________________________________________________</w:t>
      </w:r>
    </w:p>
    <w:p w:rsidR="00EE618B" w:rsidRPr="00D06B28" w:rsidRDefault="00EE618B" w:rsidP="00EE618B">
      <w:pPr>
        <w:suppressAutoHyphens/>
        <w:spacing w:before="120" w:after="0" w:line="240" w:lineRule="auto"/>
        <w:ind w:firstLine="567"/>
        <w:rPr>
          <w:rFonts w:ascii="Calibri" w:eastAsia="Antiqua" w:hAnsi="Calibri" w:cs="Antiqua"/>
          <w:color w:val="000000"/>
          <w:kern w:val="2"/>
          <w:sz w:val="26"/>
          <w:szCs w:val="26"/>
          <w:u w:color="000000"/>
          <w:lang w:eastAsia="uk-UA" w:bidi="hi-IN"/>
        </w:rPr>
      </w:pPr>
    </w:p>
    <w:p w:rsidR="00EE618B" w:rsidRPr="00D06B28" w:rsidRDefault="00EE618B" w:rsidP="00EE618B">
      <w:pPr>
        <w:suppressAutoHyphens/>
        <w:spacing w:before="120" w:after="0" w:line="240" w:lineRule="auto"/>
        <w:ind w:firstLine="567"/>
        <w:rPr>
          <w:rFonts w:ascii="Calibri" w:eastAsia="Antiqua" w:hAnsi="Calibri" w:cs="Antiqua"/>
          <w:color w:val="000000"/>
          <w:kern w:val="2"/>
          <w:sz w:val="26"/>
          <w:szCs w:val="26"/>
          <w:u w:color="000000"/>
          <w:lang w:eastAsia="uk-UA" w:bidi="hi-IN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p w:rsidR="00EE618B" w:rsidRPr="00D06B28" w:rsidRDefault="00EE618B" w:rsidP="00EE618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</w:p>
    <w:sectPr w:rsidR="00EE618B" w:rsidRPr="00D06B28" w:rsidSect="00DF4AFF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0B" w:rsidRDefault="003F6E0B" w:rsidP="003F6E0B">
      <w:pPr>
        <w:spacing w:after="0" w:line="240" w:lineRule="auto"/>
      </w:pPr>
      <w:r>
        <w:separator/>
      </w:r>
    </w:p>
  </w:endnote>
  <w:endnote w:type="continuationSeparator" w:id="0">
    <w:p w:rsidR="003F6E0B" w:rsidRDefault="003F6E0B" w:rsidP="003F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0B" w:rsidRDefault="003F6E0B" w:rsidP="003F6E0B">
      <w:pPr>
        <w:spacing w:after="0" w:line="240" w:lineRule="auto"/>
      </w:pPr>
      <w:r>
        <w:separator/>
      </w:r>
    </w:p>
  </w:footnote>
  <w:footnote w:type="continuationSeparator" w:id="0">
    <w:p w:rsidR="003F6E0B" w:rsidRDefault="003F6E0B" w:rsidP="003F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32761"/>
      <w:docPartObj>
        <w:docPartGallery w:val="Page Numbers (Top of Page)"/>
        <w:docPartUnique/>
      </w:docPartObj>
    </w:sdtPr>
    <w:sdtEndPr/>
    <w:sdtContent>
      <w:p w:rsidR="003F6E0B" w:rsidRDefault="003F6E0B">
        <w:pPr>
          <w:pStyle w:val="a4"/>
          <w:jc w:val="center"/>
        </w:pPr>
        <w:r w:rsidRPr="003F6E0B">
          <w:rPr>
            <w:rFonts w:ascii="Times New Roman" w:hAnsi="Times New Roman" w:cs="Times New Roman"/>
          </w:rPr>
          <w:fldChar w:fldCharType="begin"/>
        </w:r>
        <w:r w:rsidRPr="003F6E0B">
          <w:rPr>
            <w:rFonts w:ascii="Times New Roman" w:hAnsi="Times New Roman" w:cs="Times New Roman"/>
          </w:rPr>
          <w:instrText>PAGE   \* MERGEFORMAT</w:instrText>
        </w:r>
        <w:r w:rsidRPr="003F6E0B">
          <w:rPr>
            <w:rFonts w:ascii="Times New Roman" w:hAnsi="Times New Roman" w:cs="Times New Roman"/>
          </w:rPr>
          <w:fldChar w:fldCharType="separate"/>
        </w:r>
        <w:r w:rsidR="00F41475" w:rsidRPr="00F41475">
          <w:rPr>
            <w:rFonts w:ascii="Times New Roman" w:hAnsi="Times New Roman" w:cs="Times New Roman"/>
            <w:noProof/>
            <w:lang w:val="ru-RU"/>
          </w:rPr>
          <w:t>2</w:t>
        </w:r>
        <w:r w:rsidRPr="003F6E0B">
          <w:rPr>
            <w:rFonts w:ascii="Times New Roman" w:hAnsi="Times New Roman" w:cs="Times New Roman"/>
          </w:rPr>
          <w:fldChar w:fldCharType="end"/>
        </w:r>
      </w:p>
    </w:sdtContent>
  </w:sdt>
  <w:p w:rsidR="00DF4AFF" w:rsidRDefault="00F414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863"/>
    <w:multiLevelType w:val="multilevel"/>
    <w:tmpl w:val="DB9210C6"/>
    <w:lvl w:ilvl="0">
      <w:start w:val="5"/>
      <w:numFmt w:val="bullet"/>
      <w:pStyle w:val="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41381A"/>
    <w:multiLevelType w:val="hybridMultilevel"/>
    <w:tmpl w:val="E294E45C"/>
    <w:lvl w:ilvl="0" w:tplc="DC08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D17"/>
    <w:multiLevelType w:val="multilevel"/>
    <w:tmpl w:val="7D9EAA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D21C04"/>
    <w:multiLevelType w:val="hybridMultilevel"/>
    <w:tmpl w:val="EE7C9300"/>
    <w:lvl w:ilvl="0" w:tplc="DC08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A7650"/>
    <w:multiLevelType w:val="hybridMultilevel"/>
    <w:tmpl w:val="D8A828B8"/>
    <w:lvl w:ilvl="0" w:tplc="585C2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734FF"/>
    <w:multiLevelType w:val="hybridMultilevel"/>
    <w:tmpl w:val="A4D615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FF"/>
    <w:rsid w:val="000345F1"/>
    <w:rsid w:val="00036CA9"/>
    <w:rsid w:val="001813C2"/>
    <w:rsid w:val="00206679"/>
    <w:rsid w:val="00314F4F"/>
    <w:rsid w:val="003F6E0B"/>
    <w:rsid w:val="008940EE"/>
    <w:rsid w:val="009624A8"/>
    <w:rsid w:val="00B968D3"/>
    <w:rsid w:val="00BB32FF"/>
    <w:rsid w:val="00E60316"/>
    <w:rsid w:val="00EE618B"/>
    <w:rsid w:val="00F0758D"/>
    <w:rsid w:val="00F41475"/>
    <w:rsid w:val="00F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329F1-0E2B-4AC2-9AEA-24E9B023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Η1"/>
    <w:basedOn w:val="a3"/>
    <w:qFormat/>
    <w:rsid w:val="003F6E0B"/>
    <w:pPr>
      <w:widowControl w:val="0"/>
      <w:numPr>
        <w:numId w:val="1"/>
      </w:numPr>
      <w:tabs>
        <w:tab w:val="num" w:pos="360"/>
        <w:tab w:val="left" w:pos="851"/>
      </w:tabs>
      <w:suppressAutoHyphens/>
      <w:spacing w:before="480" w:after="240" w:line="240" w:lineRule="auto"/>
      <w:ind w:firstLine="0"/>
      <w:contextualSpacing w:val="0"/>
      <w:jc w:val="both"/>
    </w:pPr>
    <w:rPr>
      <w:rFonts w:cs="Mangal"/>
      <w:b/>
      <w:bCs/>
      <w:color w:val="2F5496"/>
      <w:kern w:val="24"/>
      <w:sz w:val="28"/>
      <w:szCs w:val="28"/>
      <w:u w:color="000000"/>
      <w:lang w:bidi="hi-IN"/>
    </w:rPr>
  </w:style>
  <w:style w:type="paragraph" w:styleId="a4">
    <w:name w:val="header"/>
    <w:basedOn w:val="a"/>
    <w:link w:val="a5"/>
    <w:uiPriority w:val="99"/>
    <w:unhideWhenUsed/>
    <w:rsid w:val="003F6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E0B"/>
  </w:style>
  <w:style w:type="paragraph" w:styleId="a3">
    <w:name w:val="List Paragraph"/>
    <w:basedOn w:val="a"/>
    <w:uiPriority w:val="34"/>
    <w:qFormat/>
    <w:rsid w:val="003F6E0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F6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E0B"/>
  </w:style>
  <w:style w:type="paragraph" w:styleId="a8">
    <w:name w:val="Balloon Text"/>
    <w:basedOn w:val="a"/>
    <w:link w:val="a9"/>
    <w:uiPriority w:val="99"/>
    <w:semiHidden/>
    <w:unhideWhenUsed/>
    <w:rsid w:val="00F4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3294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ВЕДМІДЬ Анастасія Іванівна</dc:creator>
  <cp:lastModifiedBy>Ульвак Марина Вікторівна</cp:lastModifiedBy>
  <cp:revision>2</cp:revision>
  <cp:lastPrinted>2024-12-02T08:28:00Z</cp:lastPrinted>
  <dcterms:created xsi:type="dcterms:W3CDTF">2024-12-02T08:28:00Z</dcterms:created>
  <dcterms:modified xsi:type="dcterms:W3CDTF">2024-12-02T08:28:00Z</dcterms:modified>
</cp:coreProperties>
</file>