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B" w:rsidRPr="00D06B28" w:rsidRDefault="003F6E0B" w:rsidP="003F6E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de-DE"/>
        </w:rPr>
      </w:pPr>
      <w:bookmarkStart w:id="0" w:name="_GoBack"/>
      <w:bookmarkEnd w:id="0"/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bookmarkStart w:id="1" w:name="_heading=h.1rvwp1q"/>
      <w:bookmarkStart w:id="2" w:name="_heading=h.3q5sasy"/>
      <w:bookmarkEnd w:id="1"/>
      <w:bookmarkEnd w:id="2"/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Додаток 6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br/>
        <w:t xml:space="preserve">До Методичних рекомендацій з підготовки звіту 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 xml:space="preserve">оцінки впливу на довкілля 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щодо об’єктів оброблення небезпечних відходів</w:t>
      </w:r>
    </w:p>
    <w:p w:rsidR="001D2F08" w:rsidRPr="00D06B28" w:rsidRDefault="001D2F08" w:rsidP="001D2F08">
      <w:pPr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</w:pPr>
      <w:r w:rsidRPr="00D06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  <w:t>Рекомендації до оцінки ймовірного забруднення ґрунтів</w:t>
      </w: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Ступінь забруднення ґрунтів може бути оцінено за співвідношенням розрахункової (прогнозної) або фактичної концентрації небезпечної хімічної речовини у ґрунті до:</w:t>
      </w: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а) її максимально безпечної концентрації (референтної або гранично допустимої концентрації речовини у ґрунті);</w:t>
      </w:r>
    </w:p>
    <w:p w:rsidR="001D2F08" w:rsidRPr="00D06B28" w:rsidRDefault="001D2F08" w:rsidP="001D2F08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б) фонової концентрації цієї речовини у ґрунті (якщо речовина може бути природним складником ґрунту, наприклад, деякі важкі метали).</w:t>
      </w: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Для оцінки забруднення ґрунтів нафтопродуктами, рекомендовано:</w:t>
      </w:r>
    </w:p>
    <w:p w:rsidR="001D2F08" w:rsidRPr="001D2F0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д</w:t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ля визначення переліку нафтопродуктів, а також вмісту нафтопродуктів у речовинах застосовувати стандарти і стандартизовані методики (наприклад, ДСТУ 3437-96 «Нафтопродукти. Терміни та визначення», ISO 16703, ISO 18287, ISO 15009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)</w:t>
      </w:r>
    </w:p>
    <w:p w:rsidR="001D2F08" w:rsidRPr="001D2F0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аналізувати окремо забруднення за нафтопродуктами, а також їхніми небезпечними фракціями, такими, як ароматичні вуглеводні та поліциклічні ароматичні вуглеводні, що володіють токсичною і канцерогенною дією; </w:t>
      </w:r>
    </w:p>
    <w:p w:rsidR="001D2F08" w:rsidRPr="001D2F0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 якості референтних значень використовувати нормативи вмісту нафтопродуктів у ґрунтах згідно з постановою Кабінету Міністрів України від 15.12.2021 № 1325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«</w:t>
      </w:r>
      <w:bookmarkStart w:id="3" w:name="bookmark=id.kgcv8k"/>
      <w:bookmarkEnd w:id="3"/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Про затвердження нормативів гранично допустимих концентрацій небезпечних речовин у ґрунтах, а також переліку таких речовин», а додатково – референтні значення, прийняті у ЄС (за сумою нафтових вуглеводнів і за їхніми окремими найбільш небезпечними фракціями);</w:t>
      </w:r>
    </w:p>
    <w:p w:rsidR="001D2F08" w:rsidRPr="001D2F0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враховувати, що рівень небезпеки забруднення ґрунтів залежить від фізико-хімічних властивостей ґрунту. Наприклад, за європейськими нормативами, референтні концентрації фракції ароматичних вуглеводнів у нафтопродуктах встановлено на рівні </w:t>
      </w:r>
      <w:r w:rsidRPr="001D2F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>40 мг/кг абсолютно сухого ґрунту для референтних ґрунтів, що мають реакцію рН 6, вміст глини 25% та вміст органічної речовини 10%.</w:t>
      </w: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Рівень екотоксичності небезпечних хімічних речовин може бути оцінено на підставі тестування біологічної активності ґрунтів: визначають кількість  (концентрацію, рівень) речовин у ґрунті, яка ще не позначається на життєдіяльності ґрунтових живих організмів, кількість, що викликає кількісні зміни у чисельності і біомасі, і накінець кількість, що призводить до зникнення певних видів фауни та мікрофлори ґрунту і падіння його загальної біологічної активності.</w:t>
      </w: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Таблиця 1. Рекомендації до оцінки ризиків забруднення ґрунтів </w:t>
      </w:r>
    </w:p>
    <w:tbl>
      <w:tblPr>
        <w:tblW w:w="989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4481"/>
        <w:gridCol w:w="4733"/>
      </w:tblGrid>
      <w:tr w:rsidR="001D2F08" w:rsidRPr="00D06B28" w:rsidTr="001D2F08">
        <w:trPr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val="ru-RU"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val="ru-RU" w:eastAsia="uk-UA" w:bidi="hi-IN"/>
              </w:rPr>
              <w:t>№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Критерії для оцінки ризику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Приклади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bidi="hi-IN"/>
              </w:rPr>
            </w:pPr>
            <w:r w:rsidRPr="001D2F0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1.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Максимальна маса небезпечних відходів (небезпечних хімічних речовин) на об’єкті або у ємності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При роботі з небезпечними речовинами, встановлюють максимально допустиму їх кількість на об’єкті (або у ємності), за якої, у разі аварії, вдається уникнути нещасних випадків та 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ровести локалізацію забруднення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2.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Технологічні регламенти операцій з НВ (зберігання та ін..), ступінь захищеності (замкненості) технологічного процесу від навколишнього природного середовища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У паспорті безпечності хімічної речовини або в аналогічній документації міститься основна інформація про властивості небезпечної речовини (відходу) та необхідні вимоги при роботі з речовиною (відходом)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lastRenderedPageBreak/>
              <w:t>3.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ельєф місцевості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 xml:space="preserve">Зі збільшенням ухилу земної поверхні у 4 рази швидкість міграції забруднення з водою збільшується удвічі. </w:t>
            </w:r>
          </w:p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Наявність захисних та інших багаторічних насаджень на шляху забруднення може суттєво зменшити його інтенсивність та масштаб поширення.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4.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Покриття земної поверхні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Забруднення поширюється швидше на ділянках з твердим покриттям або переущільнених, за рахунок змивів з поверхневими стічними водами.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5.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ластивості ґрунтів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Ґрунти з хорошими буферними властивостями є природними бар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val="ru-RU" w:eastAsia="uk-UA" w:bidi="hi-IN"/>
              </w:rPr>
              <w:t>’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єрами проти поширення хімічного забруднення.</w:t>
            </w:r>
          </w:p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Високими буферними властивостями характеризуються ґрунти, що за гранулометричним складом відносяться до суглинків і важких (глинистих) ґрунтів, за реакцією рН – до нейтральних, з високою та вище середньої ємністю катіонного обміну та з вмістом гумусу вище 4%.</w:t>
            </w:r>
          </w:p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Дуже слабкими буферними властивостями характеризуються піщані і супіщані ґрунти, кислі та лужні, з низькою ємністю катіонного обміну та низьким вмістом гумусу (менше 1%).</w:t>
            </w:r>
          </w:p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Збереження та відновлення ґрунтів з хорошими буферними властивостями може бути одним зі шляхів локалізації хімічного забруднення ґрунтів.</w:t>
            </w:r>
          </w:p>
          <w:p w:rsidR="001D2F08" w:rsidRPr="00D06B28" w:rsidRDefault="001D2F08" w:rsidP="001D2F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У ґрунтах, що характеризуються хорошою аерацією (насиченістю повітрям), зволоженістю, високою біологічною активністю та розвиненим рослинним покривом, спостерігається швидше розкладання органічних забруднювачів.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6.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Швидкість міграції (поширення забруднення) у навколишньому середовищі. Залежить як від властивостей небезпечного відходу/ небезпечної хімічної речовини (фізичний стан, розчинність у воді та ін.), так і від властивостей ґрунтів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Швидко мігрують хімічні речовини, здатні розчинятися у воді, леткі речовини, речовини у стані солей та суспендованих частинок.</w:t>
            </w:r>
          </w:p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Низькокиплячі нафтопродукти (наприклад, бензин) на ґрунтах легкого механічного складу фільтруються з середньою швидкістю 1…70 м/добу, на важких ґрунтах – 2 см…10 м/добу.</w:t>
            </w:r>
          </w:p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 xml:space="preserve">Висококиплячі нафтопродукти (мазути) та нафта на ґрунтах легкого механічного складу фільтруються зі швидкістю до 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br/>
              <w:t xml:space="preserve">3 см/добу, на важких ґрунтах – </w:t>
            </w:r>
            <w:r w:rsidR="000F4E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br/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до 3 мм/добу.</w:t>
            </w:r>
          </w:p>
        </w:tc>
      </w:tr>
      <w:tr w:rsidR="001D2F08" w:rsidRPr="00D06B28" w:rsidTr="001D2F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08" w:rsidRPr="001D2F08" w:rsidRDefault="001D2F08" w:rsidP="001D2F08">
            <w:pPr>
              <w:widowControl w:val="0"/>
              <w:suppressAutoHyphens/>
              <w:spacing w:after="0" w:line="240" w:lineRule="auto"/>
              <w:ind w:left="148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u w:color="000000"/>
                <w:lang w:bidi="hi-IN"/>
              </w:rPr>
              <w:t>7.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 xml:space="preserve">Хімічна стійкість у навколишньому середовищі. Залежить від хімічних 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lastRenderedPageBreak/>
              <w:t>властивостей небезпечної речовини – її здатності до хімічних (окисно-відновних) реакцій, взаємодій з частинками ґрунту, фоторозкладання, біорозкладання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08" w:rsidRPr="00D06B28" w:rsidRDefault="001D2F08" w:rsidP="000F4E5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lastRenderedPageBreak/>
              <w:t xml:space="preserve">Деякі органічні забруднювачі (пестициди, ін.) не розкладаються у 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lastRenderedPageBreak/>
              <w:t>природі і тому тривалий час зберігають свою токсичну дію.</w:t>
            </w:r>
          </w:p>
          <w:p w:rsidR="001D2F08" w:rsidRPr="00D06B28" w:rsidRDefault="001D2F08" w:rsidP="000F4E5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Різні важкі метали по-різному утримуються у ґрунті, деякі з них легше вимиваються у підземні води.</w:t>
            </w:r>
          </w:p>
        </w:tc>
      </w:tr>
    </w:tbl>
    <w:p w:rsidR="001D2F08" w:rsidRPr="00D06B28" w:rsidRDefault="001D2F08" w:rsidP="001D2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jc w:val="center"/>
        <w:rPr>
          <w:rFonts w:ascii="Calibri" w:eastAsia="Calibri" w:hAnsi="Calibri" w:cs="Calibri"/>
          <w:color w:val="000000"/>
          <w:kern w:val="2"/>
          <w:sz w:val="20"/>
          <w:szCs w:val="26"/>
          <w:u w:color="000000"/>
          <w:lang w:eastAsia="uk-UA" w:bidi="hi-IN"/>
        </w:rPr>
      </w:pPr>
      <w:r w:rsidRPr="00D06B28">
        <w:rPr>
          <w:rFonts w:ascii="Calibri" w:eastAsia="Antiqua" w:hAnsi="Calibri" w:cs="Antiqua"/>
          <w:color w:val="000000"/>
          <w:kern w:val="2"/>
          <w:sz w:val="20"/>
          <w:szCs w:val="26"/>
          <w:u w:color="000000"/>
          <w:lang w:eastAsia="uk-UA" w:bidi="hi-IN"/>
        </w:rPr>
        <w:t>________________________________________________________</w:t>
      </w: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sectPr w:rsidR="001D2F08" w:rsidRPr="00D06B28" w:rsidSect="00DF4AF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0B" w:rsidRDefault="003F6E0B" w:rsidP="003F6E0B">
      <w:pPr>
        <w:spacing w:after="0" w:line="240" w:lineRule="auto"/>
      </w:pPr>
      <w:r>
        <w:separator/>
      </w:r>
    </w:p>
  </w:endnote>
  <w:end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0B" w:rsidRDefault="003F6E0B" w:rsidP="003F6E0B">
      <w:pPr>
        <w:spacing w:after="0" w:line="240" w:lineRule="auto"/>
      </w:pPr>
      <w:r>
        <w:separator/>
      </w:r>
    </w:p>
  </w:footnote>
  <w:foot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32761"/>
      <w:docPartObj>
        <w:docPartGallery w:val="Page Numbers (Top of Page)"/>
        <w:docPartUnique/>
      </w:docPartObj>
    </w:sdtPr>
    <w:sdtEndPr/>
    <w:sdtContent>
      <w:p w:rsidR="003F6E0B" w:rsidRDefault="003F6E0B">
        <w:pPr>
          <w:pStyle w:val="a4"/>
          <w:jc w:val="center"/>
        </w:pPr>
        <w:r w:rsidRPr="003F6E0B">
          <w:rPr>
            <w:rFonts w:ascii="Times New Roman" w:hAnsi="Times New Roman" w:cs="Times New Roman"/>
          </w:rPr>
          <w:fldChar w:fldCharType="begin"/>
        </w:r>
        <w:r w:rsidRPr="003F6E0B">
          <w:rPr>
            <w:rFonts w:ascii="Times New Roman" w:hAnsi="Times New Roman" w:cs="Times New Roman"/>
          </w:rPr>
          <w:instrText>PAGE   \* MERGEFORMAT</w:instrText>
        </w:r>
        <w:r w:rsidRPr="003F6E0B">
          <w:rPr>
            <w:rFonts w:ascii="Times New Roman" w:hAnsi="Times New Roman" w:cs="Times New Roman"/>
          </w:rPr>
          <w:fldChar w:fldCharType="separate"/>
        </w:r>
        <w:r w:rsidR="00AF4DC1" w:rsidRPr="00AF4DC1">
          <w:rPr>
            <w:rFonts w:ascii="Times New Roman" w:hAnsi="Times New Roman" w:cs="Times New Roman"/>
            <w:noProof/>
            <w:lang w:val="ru-RU"/>
          </w:rPr>
          <w:t>2</w:t>
        </w:r>
        <w:r w:rsidRPr="003F6E0B">
          <w:rPr>
            <w:rFonts w:ascii="Times New Roman" w:hAnsi="Times New Roman" w:cs="Times New Roman"/>
          </w:rPr>
          <w:fldChar w:fldCharType="end"/>
        </w:r>
      </w:p>
    </w:sdtContent>
  </w:sdt>
  <w:p w:rsidR="00DF4AFF" w:rsidRDefault="00AF4D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863"/>
    <w:multiLevelType w:val="multilevel"/>
    <w:tmpl w:val="DB9210C6"/>
    <w:lvl w:ilvl="0">
      <w:start w:val="5"/>
      <w:numFmt w:val="bullet"/>
      <w:pStyle w:val="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1381A"/>
    <w:multiLevelType w:val="hybridMultilevel"/>
    <w:tmpl w:val="E294E45C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D17"/>
    <w:multiLevelType w:val="multilevel"/>
    <w:tmpl w:val="7D9EA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21C04"/>
    <w:multiLevelType w:val="hybridMultilevel"/>
    <w:tmpl w:val="EE7C9300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7650"/>
    <w:multiLevelType w:val="hybridMultilevel"/>
    <w:tmpl w:val="D8A828B8"/>
    <w:lvl w:ilvl="0" w:tplc="585C2D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F734FF"/>
    <w:multiLevelType w:val="hybridMultilevel"/>
    <w:tmpl w:val="A4D615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7BD6"/>
    <w:multiLevelType w:val="hybridMultilevel"/>
    <w:tmpl w:val="BD1EA144"/>
    <w:lvl w:ilvl="0" w:tplc="B150E61E">
      <w:start w:val="4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FF"/>
    <w:rsid w:val="000345F1"/>
    <w:rsid w:val="00036CA9"/>
    <w:rsid w:val="000F4E5F"/>
    <w:rsid w:val="001813C2"/>
    <w:rsid w:val="001D2F08"/>
    <w:rsid w:val="00206679"/>
    <w:rsid w:val="00314F4F"/>
    <w:rsid w:val="003F6E0B"/>
    <w:rsid w:val="00417647"/>
    <w:rsid w:val="008940EE"/>
    <w:rsid w:val="009624A8"/>
    <w:rsid w:val="00AF4DC1"/>
    <w:rsid w:val="00B968D3"/>
    <w:rsid w:val="00BB32FF"/>
    <w:rsid w:val="00E60316"/>
    <w:rsid w:val="00EE618B"/>
    <w:rsid w:val="00F0758D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33661-6043-48E1-A194-9D82813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Η1"/>
    <w:basedOn w:val="a3"/>
    <w:qFormat/>
    <w:rsid w:val="003F6E0B"/>
    <w:pPr>
      <w:widowControl w:val="0"/>
      <w:numPr>
        <w:numId w:val="1"/>
      </w:numPr>
      <w:tabs>
        <w:tab w:val="num" w:pos="360"/>
        <w:tab w:val="left" w:pos="851"/>
      </w:tabs>
      <w:suppressAutoHyphens/>
      <w:spacing w:before="480" w:after="240" w:line="240" w:lineRule="auto"/>
      <w:ind w:firstLine="0"/>
      <w:contextualSpacing w:val="0"/>
      <w:jc w:val="both"/>
    </w:pPr>
    <w:rPr>
      <w:rFonts w:cs="Mangal"/>
      <w:b/>
      <w:bCs/>
      <w:color w:val="2F5496"/>
      <w:kern w:val="24"/>
      <w:sz w:val="28"/>
      <w:szCs w:val="28"/>
      <w:u w:color="000000"/>
      <w:lang w:bidi="hi-IN"/>
    </w:rPr>
  </w:style>
  <w:style w:type="paragraph" w:styleId="a4">
    <w:name w:val="header"/>
    <w:basedOn w:val="a"/>
    <w:link w:val="a5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E0B"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E0B"/>
  </w:style>
  <w:style w:type="paragraph" w:styleId="a8">
    <w:name w:val="Balloon Text"/>
    <w:basedOn w:val="a"/>
    <w:link w:val="a9"/>
    <w:uiPriority w:val="99"/>
    <w:semiHidden/>
    <w:unhideWhenUsed/>
    <w:rsid w:val="00AF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3622</Words>
  <Characters>2065</Characters>
  <Application>Microsoft Office Word</Application>
  <DocSecurity>4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ВЕДМІДЬ Анастасія Іванівна</dc:creator>
  <cp:lastModifiedBy>Ульвак Марина Вікторівна</cp:lastModifiedBy>
  <cp:revision>2</cp:revision>
  <cp:lastPrinted>2024-12-02T08:28:00Z</cp:lastPrinted>
  <dcterms:created xsi:type="dcterms:W3CDTF">2024-12-02T08:29:00Z</dcterms:created>
  <dcterms:modified xsi:type="dcterms:W3CDTF">2024-12-02T08:29:00Z</dcterms:modified>
</cp:coreProperties>
</file>