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C0" w:rsidRDefault="00F94757">
      <w:pPr>
        <w:pStyle w:val="ab"/>
        <w:ind w:firstLine="709"/>
        <w:jc w:val="center"/>
        <w:rPr>
          <w:rFonts w:eastAsia="Times New Roman" w:cs="Times New Roman"/>
          <w:b/>
        </w:rPr>
      </w:pPr>
      <w:bookmarkStart w:id="0" w:name="OLE_LINK29"/>
      <w:bookmarkStart w:id="1" w:name="OLE_LINK74"/>
      <w:bookmarkStart w:id="2" w:name="OLE_LINK30"/>
      <w:bookmarkStart w:id="3" w:name="OLE_LINK164"/>
      <w:bookmarkStart w:id="4" w:name="OLE_LINK173"/>
      <w:r>
        <w:rPr>
          <w:rFonts w:eastAsia="Times New Roman" w:cs="Times New Roman"/>
          <w:b/>
        </w:rPr>
        <w:t>ПОВІДОМЛЕННЯ ПРО НАМІР ОТРИМАТИ ДОЗВІЛ НА ВИКИДИ</w:t>
      </w:r>
    </w:p>
    <w:p w:rsidR="002E18C0" w:rsidRDefault="002E18C0">
      <w:pPr>
        <w:pStyle w:val="ab"/>
        <w:ind w:firstLine="709"/>
        <w:jc w:val="center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ПРИВАТНЕ</w:t>
      </w:r>
      <w:r w:rsidR="006F539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АКЦІОНЕРНЕ ТОВАРИСТВО «МХП» (ПР</w:t>
      </w:r>
      <w:bookmarkStart w:id="5" w:name="_GoBack"/>
      <w:bookmarkEnd w:id="5"/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«МХП»).</w:t>
      </w:r>
    </w:p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1033B"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>25412361</w:t>
      </w:r>
    </w:p>
    <w:p w:rsidR="002E18C0" w:rsidRPr="009F2F0C" w:rsidRDefault="00F94757" w:rsidP="00610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01609,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Київська обл., Обухівський р-н,                       м. Миронівка, вул.</w:t>
      </w:r>
      <w:r w:rsid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Елеваторна, буд.1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тел.: </w:t>
      </w:r>
      <w:hyperlink r:id="rId6" w:history="1">
        <w:r w:rsidRPr="009F2F0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+38 (099) 731-76-84</w:t>
        </w:r>
      </w:hyperlink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е-mail: </w:t>
      </w:r>
      <w:hyperlink r:id="rId7" w:history="1">
        <w:r w:rsidRPr="009F2F0C">
          <w:rPr>
            <w:rStyle w:val="a4"/>
            <w:rFonts w:ascii="Times New Roman" w:hAnsi="Times New Roman" w:cs="Times New Roman"/>
            <w:sz w:val="24"/>
            <w:szCs w:val="24"/>
          </w:rPr>
          <w:t>y.s.boiko@mhp.com.ua</w:t>
        </w:r>
      </w:hyperlink>
      <w:r w:rsidRPr="009F2F0C">
        <w:rPr>
          <w:rFonts w:ascii="Times New Roman" w:hAnsi="Times New Roman" w:cs="Times New Roman"/>
          <w:sz w:val="24"/>
          <w:szCs w:val="24"/>
        </w:rPr>
        <w:t>.</w:t>
      </w:r>
    </w:p>
    <w:p w:rsidR="0061033B" w:rsidRPr="009F2F0C" w:rsidRDefault="000805C3" w:rsidP="0061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Назва промислового майданчика:</w:t>
      </w:r>
      <w:r w:rsidR="009F2F0C"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ФІЛІЯ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«МʼЯСНИЙ МУЛЬТИКОМПЛЕКС МХП» ПРИВАТНОГО АКЦІОНЕРНОГО ТОВАРИСТВА «МХП».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Pr="009F2F0C">
        <w:rPr>
          <w:rFonts w:ascii="Times New Roman" w:hAnsi="Times New Roman" w:cs="Times New Roman"/>
          <w:color w:val="000000"/>
          <w:spacing w:val="2"/>
          <w:sz w:val="24"/>
        </w:rPr>
        <w:t>49007, Дніпропетровська обл.,  м. Дніпро,вул. Кротова Бориса, будинок 24.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обсягів забруднюючих речовин та отримання дозволу на викиди для новоствореного об’єкту, який відноситься 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другої групи </w:t>
      </w:r>
      <w:r>
        <w:rPr>
          <w:rFonts w:ascii="Times New Roman" w:eastAsia="MS Mincho" w:hAnsi="Times New Roman" w:cs="Times New Roman"/>
          <w:iCs/>
          <w:sz w:val="24"/>
          <w:szCs w:val="24"/>
          <w:lang w:eastAsia="en-US"/>
        </w:rPr>
        <w:t xml:space="preserve">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>Загальний опис об’єкта (опис виробництв та технологічного устаткування)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Підприємство спеціалізується на виготовленні та реалізації мʼясної продукції з мʼяса курятини (43,6 т/добу).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 на виробничому майданчику знаходиться 62 джерела викидів: 39 – організовані та 23 – неорганізовані. Виробнича структура підприємства включає в себе основне виробництво (виробництво харчової продукції: м’ясо-ковбасні вироби (МКВ), м’ясні снеки та піца) та допоміжне виробництво(ЦСМ, ділянки санітарної обробки обладнання та спецодягу, механічна майстерня, аварійне електропостачання, котельня, станція подачі інертного середовища, холодильне обладнання та обладнання їдальні).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Основними технологічними процесами, що супроводжуються викидами забруднюючих речовин в атмосферне повітря є: робота вентиляційних систем виробничих ліній, робота опалювального обладнання (два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парових котла прямоточних твердопаливних типу КПТ-2,5)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робота дизельного генератора FC 500 S-C та дизельних водонагрівачів Kärcher, робота станції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подачі інертного середовища,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ЦСМ, зварювальні та металообробні роботи,  прання спецодягу, дезінфекція обладнання, робота холодильних установок та їдальні.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Відомості щодо видів та обсягів викидів.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Під час роботи підприємства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всього викидається в атмосферу 33 забруднюючі речовини, кількість яких становить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445,3465257 т/рік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Потенційні викиди від стаціонарних джерел викидів: кислота о-фосфорна – 0,0066 т/рік;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натрію гідроксид (натр їдкий, сода каустична)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0,04818 т/рік; </w:t>
      </w:r>
      <w:r>
        <w:rPr>
          <w:rStyle w:val="spanrvts0"/>
          <w:rFonts w:eastAsiaTheme="minorEastAsia"/>
        </w:rPr>
        <w:t xml:space="preserve">кремнію діоксид аморфний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0,000032 т/рік; діоксид титану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0,0000074 т/рік; </w:t>
      </w:r>
      <w:r>
        <w:rPr>
          <w:rFonts w:ascii="Times New Roman" w:hAnsi="Times New Roman" w:cs="Times New Roman"/>
          <w:sz w:val="24"/>
          <w:szCs w:val="24"/>
        </w:rPr>
        <w:t xml:space="preserve">оксид  вуглецю -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1,656884 т/рік; </w:t>
      </w:r>
      <w:r>
        <w:rPr>
          <w:rFonts w:ascii="Times New Roman" w:hAnsi="Times New Roman" w:cs="Times New Roman"/>
          <w:sz w:val="24"/>
          <w:szCs w:val="24"/>
        </w:rPr>
        <w:t xml:space="preserve">вуглецю  діоксид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427,1103 т/рік; метан - 0,0222 т/рік; </w:t>
      </w:r>
      <w:r>
        <w:rPr>
          <w:rFonts w:ascii="Times New Roman" w:hAnsi="Times New Roman" w:cs="Times New Roman"/>
          <w:sz w:val="24"/>
          <w:szCs w:val="24"/>
        </w:rPr>
        <w:t xml:space="preserve">хлор та сполуки хлору (у перерахунку на хлор)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0,1137 т/рік; залізо та його сполуки (у перерахунку на залізо)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0,00036 т/рік;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нікель та його сполуки (у перерахунку на нікель)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0,0000042 т/рік; хром та його сполуки (у перерахунку на хром) - 0,000014 т/рік; манган та його сполуки (у перерахунку на діоксид мангану) - 0,0000428 т/рік; </w:t>
      </w:r>
      <w:r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недиференційованих за  складом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(мікрочастинки та волокна 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1,346764 т/рік; </w:t>
      </w:r>
      <w:r>
        <w:rPr>
          <w:rFonts w:ascii="Times New Roman" w:hAnsi="Times New Roman" w:cs="Times New Roman"/>
          <w:sz w:val="24"/>
          <w:szCs w:val="24"/>
        </w:rPr>
        <w:t xml:space="preserve">сажа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0,00574 т/рік;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оксиди азоту (у перерахунку на діоксид азоту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[NO + NО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3,1557 т/рік; </w:t>
      </w:r>
      <w:r>
        <w:rPr>
          <w:rFonts w:ascii="Times New Roman" w:hAnsi="Times New Roman" w:cs="Times New Roman"/>
          <w:color w:val="000000"/>
          <w:sz w:val="24"/>
          <w:szCs w:val="24"/>
        </w:rPr>
        <w:t>азоту (1) оксид [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0,4341 т/рік;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аміак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0,0256 т/рік; </w:t>
      </w:r>
      <w:r>
        <w:rPr>
          <w:rFonts w:ascii="Times New Roman" w:hAnsi="Times New Roman" w:cs="Times New Roman"/>
          <w:sz w:val="24"/>
          <w:szCs w:val="24"/>
        </w:rPr>
        <w:t xml:space="preserve">сірки діоксид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0,8238 т/рік;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вуглеводні насичені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(розчинник РПК-26511 та ін.) (у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перерахунку на сумарний органічний вуглець)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0,1217 т/рік; альдегід пропіоновий (пропаналь) - 0,252 т/рік, спирт пропіловий – 3,0 т/рік; спирт ізопропіловий– 3,0 т/рік; спирт етиловий - 2,3382 т/рік; акролеїн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0,00016 т/рік;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ацетальдегід - 0,0074 т/рік; фенол - 0,2016 т/рік; кислота оцтова - 0,33438 т/рік; фтористі сполуки добре розчинні неорганічні (фтори натрію, гексафторсилікат натрію)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перерахунку на фтор - 0,0000009 т/рік; фтористі сполуки погано розчинні неорганічні (фториалюмінію, гексафторалюмінат натрію) у перерахунку на фтор - 0,000038 т/рік; фтористі сполуки газоподібні (фтористий водень, чотири фтористий кремній) у перерахунку на фтор</w:t>
      </w:r>
      <w:r>
        <w:rPr>
          <w:rStyle w:val="spanrvts0"/>
          <w:rFonts w:eastAsiaTheme="minorEastAsi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0,0000184 т/рік; фреон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(пентафтороетан)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0,6696 т/рік;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фреон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143а (1,1,1- трифтороетан)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0,6708 т/рік та фреон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134а (1,1,1,2 - тетрафтороетан)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0,0006 т/рік.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керування, тому заходи не розроблялись.</w:t>
      </w:r>
    </w:p>
    <w:p w:rsidR="002E18C0" w:rsidRDefault="00F94757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Перелік заходів щодо скорочення викидів, що виконані або/та які потребують виконання.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uk-UA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переліку заходів щодо скорочення викидів забруднюючих речовин при роботі підприємства передбачені: заходи щодо запобігання перевищенню встановлених нормативів граничнодопустимих викидів у процесі виробництва та заходи щодо охорони атмосферного повітря при НМУ.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Відповідність пропозицій щодо дозволених обсягів викидів законодавству.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допустимого вмісту хімічних і біологічних речовин в атмосферному повітрі населених місць 10.05.2024 №813, затверджені Наказом МОЗ України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10.05.2024 № 813.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Дніпропетровська обласна державна адміністрація за адресою: м. Дніпро, пр. Олександра Поля, 1, тел.0-800-505-600, e-mail: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zverngrom@adm.dp.gov.ua</w:t>
        </w:r>
      </w:hyperlink>
      <w:r>
        <w:t>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виходу повідомлення.</w:t>
      </w:r>
    </w:p>
    <w:p w:rsidR="002E18C0" w:rsidRDefault="002E18C0"/>
    <w:sectPr w:rsidR="002E18C0" w:rsidSect="002E1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68" w:rsidRDefault="000B6568">
      <w:pPr>
        <w:spacing w:line="240" w:lineRule="auto"/>
      </w:pPr>
      <w:r>
        <w:separator/>
      </w:r>
    </w:p>
  </w:endnote>
  <w:endnote w:type="continuationSeparator" w:id="1">
    <w:p w:rsidR="000B6568" w:rsidRDefault="000B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68" w:rsidRDefault="000B6568">
      <w:pPr>
        <w:spacing w:after="0"/>
      </w:pPr>
      <w:r>
        <w:separator/>
      </w:r>
    </w:p>
  </w:footnote>
  <w:footnote w:type="continuationSeparator" w:id="1">
    <w:p w:rsidR="000B6568" w:rsidRDefault="000B65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FD9"/>
    <w:rsid w:val="00013355"/>
    <w:rsid w:val="0001368B"/>
    <w:rsid w:val="00014E3F"/>
    <w:rsid w:val="0004674C"/>
    <w:rsid w:val="000504EB"/>
    <w:rsid w:val="0006020A"/>
    <w:rsid w:val="00060469"/>
    <w:rsid w:val="000805C3"/>
    <w:rsid w:val="000B6568"/>
    <w:rsid w:val="000D48B4"/>
    <w:rsid w:val="000F2E8B"/>
    <w:rsid w:val="00115499"/>
    <w:rsid w:val="0012609B"/>
    <w:rsid w:val="00145B12"/>
    <w:rsid w:val="00146858"/>
    <w:rsid w:val="00162AE0"/>
    <w:rsid w:val="001756A6"/>
    <w:rsid w:val="00184EDC"/>
    <w:rsid w:val="00187FD9"/>
    <w:rsid w:val="001957FC"/>
    <w:rsid w:val="001F4120"/>
    <w:rsid w:val="00255DAD"/>
    <w:rsid w:val="00284A0B"/>
    <w:rsid w:val="00293A73"/>
    <w:rsid w:val="002D0413"/>
    <w:rsid w:val="002E18C0"/>
    <w:rsid w:val="003241EB"/>
    <w:rsid w:val="00380C5A"/>
    <w:rsid w:val="003D2AC9"/>
    <w:rsid w:val="00463532"/>
    <w:rsid w:val="0048124C"/>
    <w:rsid w:val="004B6905"/>
    <w:rsid w:val="004F1016"/>
    <w:rsid w:val="0050089A"/>
    <w:rsid w:val="005276E1"/>
    <w:rsid w:val="0054093B"/>
    <w:rsid w:val="00566863"/>
    <w:rsid w:val="00574951"/>
    <w:rsid w:val="005B7E17"/>
    <w:rsid w:val="005C6407"/>
    <w:rsid w:val="005C72B3"/>
    <w:rsid w:val="005F409B"/>
    <w:rsid w:val="006005CA"/>
    <w:rsid w:val="0061033B"/>
    <w:rsid w:val="00626FC6"/>
    <w:rsid w:val="0066005E"/>
    <w:rsid w:val="006F5393"/>
    <w:rsid w:val="0071799D"/>
    <w:rsid w:val="007469F6"/>
    <w:rsid w:val="00753743"/>
    <w:rsid w:val="00781183"/>
    <w:rsid w:val="007A1305"/>
    <w:rsid w:val="007B741C"/>
    <w:rsid w:val="00816F05"/>
    <w:rsid w:val="00846C06"/>
    <w:rsid w:val="00865D43"/>
    <w:rsid w:val="00870C23"/>
    <w:rsid w:val="008B49E5"/>
    <w:rsid w:val="008E2039"/>
    <w:rsid w:val="00962AC3"/>
    <w:rsid w:val="009E7D75"/>
    <w:rsid w:val="009F2F0C"/>
    <w:rsid w:val="00A0610B"/>
    <w:rsid w:val="00A07D53"/>
    <w:rsid w:val="00A1354A"/>
    <w:rsid w:val="00A447C4"/>
    <w:rsid w:val="00A62937"/>
    <w:rsid w:val="00A725CF"/>
    <w:rsid w:val="00A759BA"/>
    <w:rsid w:val="00A81B83"/>
    <w:rsid w:val="00AA1551"/>
    <w:rsid w:val="00AC74AD"/>
    <w:rsid w:val="00B10A34"/>
    <w:rsid w:val="00B160B9"/>
    <w:rsid w:val="00BD76E7"/>
    <w:rsid w:val="00BE6DD7"/>
    <w:rsid w:val="00C40B14"/>
    <w:rsid w:val="00C4105A"/>
    <w:rsid w:val="00C64D83"/>
    <w:rsid w:val="00CE3B25"/>
    <w:rsid w:val="00CF33F4"/>
    <w:rsid w:val="00D041C7"/>
    <w:rsid w:val="00D8524A"/>
    <w:rsid w:val="00DB5753"/>
    <w:rsid w:val="00DF5DA5"/>
    <w:rsid w:val="00E03000"/>
    <w:rsid w:val="00E45D83"/>
    <w:rsid w:val="00E97501"/>
    <w:rsid w:val="00EB6562"/>
    <w:rsid w:val="00F03EB7"/>
    <w:rsid w:val="00F4081E"/>
    <w:rsid w:val="00F46285"/>
    <w:rsid w:val="00F6358A"/>
    <w:rsid w:val="00F72A69"/>
    <w:rsid w:val="00F84670"/>
    <w:rsid w:val="00F9145A"/>
    <w:rsid w:val="00F94757"/>
    <w:rsid w:val="00FE13A9"/>
    <w:rsid w:val="00FF1B1E"/>
    <w:rsid w:val="07BC262A"/>
    <w:rsid w:val="324A0B2B"/>
    <w:rsid w:val="351C2CF0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E18C0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1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E18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E18C0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E18C0"/>
    <w:rPr>
      <w:b/>
      <w:bCs/>
    </w:rPr>
  </w:style>
  <w:style w:type="paragraph" w:styleId="ab">
    <w:name w:val="No Spacing"/>
    <w:uiPriority w:val="1"/>
    <w:qFormat/>
    <w:rsid w:val="002E18C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2E18C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2E18C0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2E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2E1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spanrvts0">
    <w:name w:val="span_rvts0"/>
    <w:basedOn w:val="a0"/>
    <w:qFormat/>
    <w:rsid w:val="002E18C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8C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E18C0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E18C0"/>
    <w:rPr>
      <w:b/>
      <w:bCs/>
    </w:rPr>
  </w:style>
  <w:style w:type="paragraph" w:customStyle="1" w:styleId="10">
    <w:name w:val="Рецензия1"/>
    <w:hidden/>
    <w:uiPriority w:val="99"/>
    <w:semiHidden/>
    <w:qFormat/>
    <w:rsid w:val="002E18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rngrom@adm.d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.s.boiko@mhp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+38%20(099)%20731-76-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4237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oper74</cp:lastModifiedBy>
  <cp:revision>2</cp:revision>
  <dcterms:created xsi:type="dcterms:W3CDTF">2024-12-19T11:08:00Z</dcterms:created>
  <dcterms:modified xsi:type="dcterms:W3CDTF">2024-12-19T11:08:00Z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66B500720606491F8C9AA91BD200E686_12</vt:lpwstr>
  </property>
</Properties>
</file>