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8A59EB" w:rsidRPr="008A59EB">
        <w:rPr>
          <w:rFonts w:ascii="Times New Roman" w:hAnsi="Times New Roman" w:cs="Times New Roman"/>
          <w:sz w:val="20"/>
          <w:szCs w:val="20"/>
          <w:lang w:val="uk-UA"/>
        </w:rPr>
        <w:t xml:space="preserve">07442, Київська обл., Броварський р-н, селище Велика </w:t>
      </w:r>
      <w:proofErr w:type="spellStart"/>
      <w:r w:rsidR="008A59EB" w:rsidRPr="008A59EB">
        <w:rPr>
          <w:rFonts w:ascii="Times New Roman" w:hAnsi="Times New Roman" w:cs="Times New Roman"/>
          <w:sz w:val="20"/>
          <w:szCs w:val="20"/>
          <w:lang w:val="uk-UA"/>
        </w:rPr>
        <w:t>Димерка</w:t>
      </w:r>
      <w:proofErr w:type="spellEnd"/>
      <w:r w:rsidR="008A59EB" w:rsidRPr="008A59EB">
        <w:rPr>
          <w:rFonts w:ascii="Times New Roman" w:hAnsi="Times New Roman" w:cs="Times New Roman"/>
          <w:sz w:val="20"/>
          <w:szCs w:val="20"/>
          <w:lang w:val="uk-UA"/>
        </w:rPr>
        <w:t>, вул. Промислова</w:t>
      </w:r>
      <w:r w:rsidR="00105F5D" w:rsidRPr="008A59E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8A59E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Проммайданчик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714634" w:rsidRPr="008A59EB" w:rsidRDefault="00714634" w:rsidP="008A59EB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опис об’єкта (опис виробництв та технологічного устаткування): </w:t>
      </w:r>
      <w:r w:rsidR="008A59EB" w:rsidRPr="008A59EB">
        <w:rPr>
          <w:sz w:val="20"/>
        </w:rPr>
        <w:t xml:space="preserve">на промисловому майданчику розташоване адміністративне приміщення та бокс для автомобілів. Опалення приміщень в холодну пору року здійснюється двома котлами марки «Демрад-24», </w:t>
      </w:r>
      <w:r w:rsidR="008A59EB" w:rsidRPr="008A59EB">
        <w:rPr>
          <w:sz w:val="20"/>
          <w:lang w:eastAsia="ru-RU"/>
        </w:rPr>
        <w:t>потужністю 24кВ</w:t>
      </w:r>
      <w:r w:rsidR="00C16593">
        <w:rPr>
          <w:sz w:val="20"/>
          <w:lang w:val="ru-RU" w:eastAsia="ru-RU"/>
        </w:rPr>
        <w:t>т</w:t>
      </w:r>
      <w:r w:rsidR="008A59EB" w:rsidRPr="008A59EB">
        <w:rPr>
          <w:sz w:val="20"/>
          <w:lang w:eastAsia="ru-RU"/>
        </w:rPr>
        <w:t>, які встановлені в окремих котельнях. В адмінприміщенні для нагріву води встановлені дві газові плити: марки «ПГ-2», потужністю 2 кВ</w:t>
      </w:r>
      <w:r w:rsidR="00C16593">
        <w:rPr>
          <w:sz w:val="20"/>
          <w:lang w:val="ru-RU" w:eastAsia="ru-RU"/>
        </w:rPr>
        <w:t>т</w:t>
      </w:r>
      <w:r w:rsidR="008A59EB" w:rsidRPr="008A59EB">
        <w:rPr>
          <w:sz w:val="20"/>
          <w:lang w:eastAsia="ru-RU"/>
        </w:rPr>
        <w:t xml:space="preserve"> та марки «ПГ-3», потужністю 3</w:t>
      </w:r>
      <w:r w:rsidR="008A59EB">
        <w:rPr>
          <w:sz w:val="20"/>
          <w:lang w:eastAsia="ru-RU"/>
        </w:rPr>
        <w:t xml:space="preserve"> </w:t>
      </w:r>
      <w:r w:rsidR="008A59EB" w:rsidRPr="008A59EB">
        <w:rPr>
          <w:sz w:val="20"/>
          <w:lang w:eastAsia="ru-RU"/>
        </w:rPr>
        <w:t>кВ</w:t>
      </w:r>
      <w:r w:rsidR="00C16593">
        <w:rPr>
          <w:sz w:val="20"/>
          <w:lang w:val="ru-RU" w:eastAsia="ru-RU"/>
        </w:rPr>
        <w:t>т</w:t>
      </w:r>
      <w:r w:rsidR="008A59EB" w:rsidRPr="008A59EB">
        <w:rPr>
          <w:sz w:val="20"/>
          <w:lang w:eastAsia="ru-RU"/>
        </w:rPr>
        <w:t xml:space="preserve">. Вид палива – природний газ. </w:t>
      </w:r>
      <w:r w:rsidR="008A59EB" w:rsidRPr="008A59EB">
        <w:rPr>
          <w:sz w:val="20"/>
        </w:rPr>
        <w:t>Відомості щодо видів та обсягів викидів: оксиди азоту (у перерахунку на діоксид азоту [NO+</w:t>
      </w:r>
      <w:bookmarkStart w:id="5" w:name="_GoBack"/>
      <w:bookmarkEnd w:id="5"/>
      <w:r w:rsidR="008A59EB" w:rsidRPr="008A59EB">
        <w:rPr>
          <w:sz w:val="20"/>
        </w:rPr>
        <w:t>NO</w:t>
      </w:r>
      <w:r w:rsidR="008A59EB" w:rsidRPr="008A59EB">
        <w:rPr>
          <w:sz w:val="20"/>
          <w:vertAlign w:val="subscript"/>
        </w:rPr>
        <w:t>2</w:t>
      </w:r>
      <w:r w:rsidR="008A59EB" w:rsidRPr="008A59EB">
        <w:rPr>
          <w:sz w:val="20"/>
        </w:rPr>
        <w:t>]) – 0,031 т/рік, оксид вуглецю – 0,035 т/рік, вуглецю діоксид – 25,274 т/рік, азоту (1) оксид [N</w:t>
      </w:r>
      <w:r w:rsidR="008A59EB" w:rsidRPr="008A59EB">
        <w:rPr>
          <w:sz w:val="20"/>
          <w:vertAlign w:val="subscript"/>
        </w:rPr>
        <w:t>2</w:t>
      </w:r>
      <w:r w:rsidR="008A59EB" w:rsidRPr="008A59EB">
        <w:rPr>
          <w:sz w:val="20"/>
        </w:rPr>
        <w:t>О] – 0,00004 т/рік, метан – 0,0004 т/рік, Ртуть та її сполуки (у перерахунку на ртуть) – 0,00000004 т/рік.</w:t>
      </w:r>
    </w:p>
    <w:p w:rsidR="00200480" w:rsidRPr="005306A3" w:rsidRDefault="005306A3" w:rsidP="00714634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F5283"/>
    <w:rsid w:val="00B2098D"/>
    <w:rsid w:val="00B82B25"/>
    <w:rsid w:val="00B87A73"/>
    <w:rsid w:val="00BD25F1"/>
    <w:rsid w:val="00BD6682"/>
    <w:rsid w:val="00C071CE"/>
    <w:rsid w:val="00C16593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D3B2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4</cp:revision>
  <cp:lastPrinted>2024-11-20T06:35:00Z</cp:lastPrinted>
  <dcterms:created xsi:type="dcterms:W3CDTF">2024-11-26T12:55:00Z</dcterms:created>
  <dcterms:modified xsi:type="dcterms:W3CDTF">2024-11-26T14:31:00Z</dcterms:modified>
</cp:coreProperties>
</file>