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8F" w:rsidRPr="00812C27" w:rsidRDefault="009A3A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АНАЛІЗ РЕГУЛЯТОРНОГО ВПЛИВУ</w:t>
      </w:r>
    </w:p>
    <w:p w:rsidR="0044748F" w:rsidRPr="00812C27" w:rsidRDefault="009A3A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 </w:t>
      </w:r>
      <w:proofErr w:type="spellStart"/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наказу Міністерства захисту довкілля та природних ресурсів України </w:t>
      </w:r>
      <w:r w:rsidRPr="00812C2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«Деякі питання експлуатації установок спалювання відходів та установок сумісного спалювання відходів»</w:t>
      </w:r>
    </w:p>
    <w:p w:rsidR="0044748F" w:rsidRPr="00812C27" w:rsidRDefault="004474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4748F" w:rsidRPr="00812C27" w:rsidRDefault="004474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І. Визначення проблеми</w:t>
      </w:r>
    </w:p>
    <w:p w:rsidR="0044748F" w:rsidRPr="00812C27" w:rsidRDefault="009A3AFF">
      <w:pPr>
        <w:pStyle w:val="ad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12C27">
        <w:rPr>
          <w:rFonts w:ascii="Times New Roman" w:eastAsia="Calibri" w:hAnsi="Times New Roman"/>
          <w:sz w:val="28"/>
          <w:szCs w:val="28"/>
          <w:lang w:val="uk-UA"/>
        </w:rPr>
        <w:t>Управління відходами залишається однією із важливих екологічних проблем, яка потребує системного вирішення. Перетворення системи управління відходами на екологічно безпечну є для України одним із пріоритетних завдань.</w:t>
      </w:r>
    </w:p>
    <w:p w:rsidR="0044748F" w:rsidRPr="00812C27" w:rsidRDefault="009A3AF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0"/>
          <w:lang w:val="uk-UA"/>
        </w:rPr>
      </w:pPr>
      <w:r w:rsidRPr="00812C27">
        <w:rPr>
          <w:color w:val="auto"/>
          <w:sz w:val="28"/>
          <w:szCs w:val="20"/>
          <w:lang w:val="uk-UA"/>
        </w:rPr>
        <w:t>Найгострішими проблемами управління відходами в Україні є: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0"/>
          <w:lang w:eastAsia="ru-RU"/>
        </w:rPr>
        <w:t>значні обсяги накопичених відходів;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0"/>
          <w:lang w:eastAsia="ru-RU"/>
        </w:rPr>
        <w:t>збільшення кількості несанкціонованих сміттєзвалищ;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0"/>
          <w:lang w:eastAsia="ru-RU"/>
        </w:rPr>
        <w:t xml:space="preserve">збільшення кількості перевантажених полігонів; 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0"/>
          <w:lang w:eastAsia="ru-RU"/>
        </w:rPr>
        <w:t>повільний темп імплементації європейських директив і регламентів;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0"/>
          <w:lang w:eastAsia="ru-RU"/>
        </w:rPr>
        <w:t>відсутність дієвої системи управління відходами.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Реформа управління відходами має на меті впровадження 5-ступеневої ієрархії управління відходами, яка прописана у рамковому Законі України «Про управління відходами» (далі – Закон) в рамках імплементації головних принципів Директиви Європейського Парламенту і Ради 2008/98/ЄС від 19 листопада 2008 року про відходи та про скасування деяких директив (далі – Директива 2008/98/ЄС). Її завданням є ефективне зменшення кількості відходів, максимальне використання їх потенціалу для збереження природних ресурсів та мінімізація негативного впливу на навколишнє природне середовище. 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Так в Швеції тільки 2 % усього сміття потрапляє на звалища, натомість переважна більшість відходів переробляється, використовується повторно, спалюється і перетворюється на електроенергію.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Україні спалюється лише незначна частка відходів, що утворюються. Так за </w:t>
      </w:r>
      <w:hyperlink r:id="rId7" w:history="1">
        <w:r w:rsidRPr="00812C27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даними</w:t>
        </w:r>
      </w:hyperlink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Державної служби статистики України в 2020 році обсяг утворених відходів склав 462373,5 тис. тон, з яких лише 1 008 тис. тон (0,2 %) спалювалось*, що значно менше ніж в більшості країн ЄС. Тому обсяг відходів що спалюється має потенціал до зростання. </w:t>
      </w:r>
    </w:p>
    <w:p w:rsidR="0044748F" w:rsidRPr="00812C27" w:rsidRDefault="009A3A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наказу </w:t>
      </w:r>
      <w:r w:rsidRPr="00812C27">
        <w:rPr>
          <w:rFonts w:ascii="Times New Roman" w:hAnsi="Times New Roman"/>
          <w:sz w:val="28"/>
          <w:szCs w:val="28"/>
        </w:rPr>
        <w:t xml:space="preserve">Міністерства захисту довкілля та природних ресурсів України </w:t>
      </w:r>
      <w:r w:rsidRPr="00812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«Деякі питання експлуатації установок спалювання відходів та установок сумісного спалювання відходів»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(далі –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812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розроблено відповідно до пункту 4 частини першої статті 20 Закону та статей 361 і 363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ратифікованої Законом України від 16 вересня 2014 року № 1678-VII.</w:t>
      </w:r>
    </w:p>
    <w:p w:rsidR="0044748F" w:rsidRPr="00812C27" w:rsidRDefault="009A3A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_________</w:t>
      </w:r>
    </w:p>
    <w:p w:rsidR="00111E2F" w:rsidRPr="00812C27" w:rsidRDefault="00111E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4748F" w:rsidRPr="00812C27" w:rsidRDefault="009A3A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12C27">
        <w:rPr>
          <w:rFonts w:ascii="Times New Roman" w:hAnsi="Times New Roman"/>
          <w:bCs/>
          <w:sz w:val="24"/>
          <w:szCs w:val="24"/>
          <w:shd w:val="clear" w:color="auto" w:fill="FFFFFF"/>
        </w:rPr>
        <w:t>* https://www.ukrstat.gov.ua/</w:t>
      </w:r>
    </w:p>
    <w:p w:rsidR="0044748F" w:rsidRPr="00812C27" w:rsidRDefault="009A3A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Проєктом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пропонується затвердити, зокрема</w:t>
      </w:r>
      <w:bookmarkStart w:id="0" w:name="_Hlk132884857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Правила технічної експлуатації установок із спалювання відходів та установок із сумісного спалювання відходів</w:t>
      </w:r>
      <w:bookmarkEnd w:id="0"/>
      <w:r w:rsidRPr="00812C27">
        <w:rPr>
          <w:rFonts w:ascii="Times New Roman" w:hAnsi="Times New Roman"/>
          <w:sz w:val="28"/>
          <w:szCs w:val="28"/>
        </w:rPr>
        <w:t xml:space="preserve"> (далі – Правила), які є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обов’язковими для виконання усіма суб’єктами господарювання, які здійснюють проектування, будівництво, оснащення та експлуатацію установок спалювання відходів та установок сумісного спалювання відходів </w:t>
      </w:r>
      <w:r w:rsidRPr="00812C27">
        <w:rPr>
          <w:rFonts w:ascii="Times New Roman" w:hAnsi="Times New Roman"/>
          <w:bCs/>
          <w:sz w:val="28"/>
          <w:szCs w:val="28"/>
        </w:rPr>
        <w:t>(далі – установок)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914AA6" w:rsidRPr="00812C27" w:rsidRDefault="00914AA6" w:rsidP="00914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Звертаємо увагу, що Порядок запровадження обов’язкових автоматизованих систем контролю викидів забруднюючих речовин затверджено Урядом відповідно до частини другої статті 32 Закону України «Про охорону атмосферного повітря», відповідно до якої моніторинг у галузі охорони атмосферного повітря є складовою частиною державної системи моніторингу навколишнього природного середовища. Порядок організації і проведення моніторингу в галузі охорони атмосферного повітря та запровадження обов’язкових автоматизованих систем контролю викидів забруднюючих речовин, визначення якості атмосферного повітря встановлюється Кабінетом Міністрів України. </w:t>
      </w:r>
    </w:p>
    <w:p w:rsidR="00914AA6" w:rsidRPr="00812C27" w:rsidRDefault="00914AA6" w:rsidP="00914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Водночас Законом України «Про охорону атмосферного повітря» не передбачаються випадки, які дозволяють не здійснювати автоматизовані інструментальні вимірювання параметрів викидів.</w:t>
      </w:r>
    </w:p>
    <w:p w:rsidR="00914AA6" w:rsidRPr="00812C27" w:rsidRDefault="00B14065" w:rsidP="0044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Станом на сьогодні</w:t>
      </w:r>
      <w:r w:rsidR="00914AA6" w:rsidRPr="00812C27">
        <w:rPr>
          <w:rFonts w:ascii="Times New Roman" w:hAnsi="Times New Roman"/>
          <w:sz w:val="28"/>
          <w:szCs w:val="28"/>
        </w:rPr>
        <w:t xml:space="preserve"> нові установки обладнуються автоматизованими засобами вимірювання з урахуванням вимог Порядку запровадження обов'язкових  автоматизованих систем контролю викидів забруднюючих речовин, затвердженого постановою Кабінету Міністрів України від 28 березня 2023 року № 272, та іншими засобами вимірювання, які забезпечують моніторинг обов'язкових технічних параметрів, встановлених цими Правилами, а також моніторинг дотримання нормативів гранично допустимих викидів (скидів) забруднюючих речовин.</w:t>
      </w:r>
    </w:p>
    <w:p w:rsidR="00B14065" w:rsidRPr="00812C27" w:rsidRDefault="00B14065" w:rsidP="00B14065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proofErr w:type="spellStart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забезпечить застосування єдиних підходів до установок спалювання відходів та установок сумісного спалювання відходів, а також уніфікованих заходів та процедур до управління ними та моніторингу викидів (скидів) забрудню</w:t>
      </w:r>
      <w:bookmarkStart w:id="1" w:name="_Hlk132973293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ючих речовин</w:t>
      </w:r>
      <w:bookmarkEnd w:id="1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, що узгоджуються з вимогами як національного так і європейського законодавства, зокрема Рамкової Директиви Європейського Парламенту та Ради від 19 листопада 2008 року № 2008/98/ЄС про відходи та скасування деяких директив і Директиви Європейського Парламенту та Ради від 24 листопада 2010 року № 2010/75/ЄС про промислові викиди (інтегрований підхід до запобігання забрудненню та його контролю).</w:t>
      </w:r>
    </w:p>
    <w:p w:rsidR="0044748F" w:rsidRPr="00812C27" w:rsidRDefault="009A3A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Прийняття </w:t>
      </w:r>
      <w:proofErr w:type="spellStart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забезпечить відповідність процесів</w:t>
      </w:r>
      <w:r w:rsidRPr="00812C27">
        <w:rPr>
          <w:rFonts w:ascii="Times New Roman" w:hAnsi="Times New Roman"/>
          <w:sz w:val="28"/>
          <w:szCs w:val="28"/>
        </w:rPr>
        <w:t xml:space="preserve"> проектування, будівництва, оснащення та експлуатації установок вимогам українського та європейського законодавства,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зокрема узгоджуються з вимогами Директиви 2008/98/ЄС та Директиви Європейського Парламенту і Ради № 2010/75/ЄС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від 24 листопада 2010 року про промислові викиди (інтегрований підхід до запобігання забрудненню та його контролю).</w:t>
      </w:r>
    </w:p>
    <w:p w:rsidR="00B14065" w:rsidRPr="00812C27" w:rsidRDefault="00B140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14065" w:rsidRPr="00812C27" w:rsidRDefault="00B140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4748F" w:rsidRPr="00812C27" w:rsidRDefault="009A3A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lastRenderedPageBreak/>
        <w:t>Основні групи (підгрупи), на які проблема справляє вплив:</w:t>
      </w:r>
    </w:p>
    <w:p w:rsidR="0044748F" w:rsidRPr="00812C27" w:rsidRDefault="00447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27"/>
        <w:gridCol w:w="2920"/>
        <w:gridCol w:w="2614"/>
      </w:tblGrid>
      <w:tr w:rsidR="00812C27" w:rsidRPr="00812C27" w:rsidTr="00D056EB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n95"/>
            <w:bookmarkEnd w:id="2"/>
            <w:r w:rsidRPr="00812C27">
              <w:rPr>
                <w:rFonts w:ascii="Times New Roman" w:hAnsi="Times New Roman"/>
                <w:b/>
                <w:bCs/>
                <w:sz w:val="28"/>
                <w:szCs w:val="28"/>
              </w:rPr>
              <w:t>Групи (підгрупи)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b/>
                <w:bCs/>
                <w:sz w:val="28"/>
                <w:szCs w:val="28"/>
              </w:rPr>
              <w:t>Так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b/>
                <w:bCs/>
                <w:sz w:val="28"/>
                <w:szCs w:val="28"/>
              </w:rPr>
              <w:t>Ні</w:t>
            </w:r>
          </w:p>
        </w:tc>
      </w:tr>
      <w:tr w:rsidR="00812C27" w:rsidRPr="00812C27" w:rsidTr="00D056EB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12C27" w:rsidRPr="00812C27" w:rsidTr="00D056EB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12C27" w:rsidRPr="00812C27" w:rsidTr="00D056EB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Суб’єкти господарювання,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237F2" w:rsidRPr="00812C27" w:rsidTr="00D056EB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6F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тому числі суб’єкти малого підприємництва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4748F" w:rsidRPr="00812C27" w:rsidRDefault="004474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bookmarkStart w:id="3" w:name="n97"/>
      <w:bookmarkStart w:id="4" w:name="n96"/>
      <w:bookmarkEnd w:id="3"/>
      <w:bookmarkEnd w:id="4"/>
    </w:p>
    <w:p w:rsidR="0044748F" w:rsidRPr="00812C27" w:rsidRDefault="009A3AFF" w:rsidP="00AF2B6C">
      <w:pPr>
        <w:pStyle w:val="3"/>
        <w:ind w:firstLine="567"/>
        <w:jc w:val="both"/>
        <w:rPr>
          <w:rFonts w:eastAsia="Calibri"/>
          <w:szCs w:val="28"/>
        </w:rPr>
      </w:pPr>
      <w:r w:rsidRPr="00812C27">
        <w:rPr>
          <w:rFonts w:eastAsia="Calibri"/>
          <w:szCs w:val="28"/>
        </w:rPr>
        <w:t xml:space="preserve">Проблема, яку пропонується врегулювати в результаті прийняття регуляторного </w:t>
      </w:r>
      <w:proofErr w:type="spellStart"/>
      <w:r w:rsidRPr="00812C27">
        <w:rPr>
          <w:rFonts w:eastAsia="Calibri"/>
          <w:szCs w:val="28"/>
        </w:rPr>
        <w:t>акта</w:t>
      </w:r>
      <w:proofErr w:type="spellEnd"/>
      <w:r w:rsidRPr="00812C27">
        <w:rPr>
          <w:rFonts w:eastAsia="Calibri"/>
          <w:szCs w:val="28"/>
        </w:rPr>
        <w:t xml:space="preserve">, не може бути розв’язана за допомогою ринкових механізмів, оскільки потребує нормативно-правового врегулювання, адже </w:t>
      </w:r>
      <w:r w:rsidRPr="00812C27">
        <w:rPr>
          <w:bCs/>
          <w:szCs w:val="28"/>
          <w:shd w:val="clear" w:color="auto" w:fill="FFFFFF"/>
        </w:rPr>
        <w:t xml:space="preserve">пунктом 4 частини першої статті 20 </w:t>
      </w:r>
      <w:r w:rsidR="00155EB2" w:rsidRPr="00812C27">
        <w:rPr>
          <w:bCs/>
          <w:szCs w:val="28"/>
          <w:shd w:val="clear" w:color="auto" w:fill="FFFFFF"/>
        </w:rPr>
        <w:t xml:space="preserve">Закону </w:t>
      </w:r>
      <w:r w:rsidRPr="00812C27">
        <w:rPr>
          <w:rFonts w:eastAsia="Calibri"/>
          <w:szCs w:val="28"/>
        </w:rPr>
        <w:t xml:space="preserve">встановлено, що затвердження Правил </w:t>
      </w:r>
      <w:r w:rsidRPr="00812C27">
        <w:rPr>
          <w:szCs w:val="28"/>
        </w:rPr>
        <w:t xml:space="preserve">технічної експлуатації установок </w:t>
      </w:r>
      <w:r w:rsidRPr="00812C27">
        <w:rPr>
          <w:bCs/>
          <w:szCs w:val="28"/>
          <w:shd w:val="clear" w:color="auto" w:fill="FFFFFF"/>
        </w:rPr>
        <w:t xml:space="preserve">із спалювання відходів та установок із сумісного спалювання відходів належить до повноважень центрального органу виконавчої влади, що забезпечує формування державної політики у сфері охорони </w:t>
      </w:r>
      <w:r w:rsidRPr="00812C27">
        <w:rPr>
          <w:rFonts w:eastAsia="Calibri"/>
          <w:szCs w:val="28"/>
        </w:rPr>
        <w:t xml:space="preserve">навколишнього природного середовища. </w:t>
      </w:r>
    </w:p>
    <w:p w:rsidR="0044748F" w:rsidRPr="00812C27" w:rsidRDefault="009A3AFF" w:rsidP="00AF2B6C">
      <w:pPr>
        <w:pStyle w:val="3"/>
        <w:ind w:firstLine="567"/>
        <w:jc w:val="both"/>
        <w:rPr>
          <w:rFonts w:eastAsia="Calibri"/>
          <w:szCs w:val="28"/>
        </w:rPr>
      </w:pPr>
      <w:r w:rsidRPr="00812C27">
        <w:rPr>
          <w:rFonts w:eastAsia="Calibri"/>
          <w:szCs w:val="28"/>
        </w:rPr>
        <w:t>На сьогодні відсутні чинні нормативно-правові акти, спрямовані на вирішення проблеми.</w:t>
      </w:r>
    </w:p>
    <w:p w:rsidR="00AF2B6C" w:rsidRPr="00812C27" w:rsidRDefault="00AF2B6C" w:rsidP="00AF2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27">
        <w:rPr>
          <w:rFonts w:ascii="Times New Roman" w:hAnsi="Times New Roman"/>
          <w:sz w:val="28"/>
          <w:szCs w:val="28"/>
          <w:lang w:eastAsia="ru-RU"/>
        </w:rPr>
        <w:t xml:space="preserve">Проблема обумовлена внесенням суттєвих змін до законодавства у сфері управління відходами з урахуванням вимог відповідних європейських директив, а тому не може бути вирішена за допомогою ринкових механізмів та вже діючих регуляторних актів. </w:t>
      </w:r>
    </w:p>
    <w:p w:rsidR="0044748F" w:rsidRPr="00812C27" w:rsidRDefault="004474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ІІ. Цілі державного регулювання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Основними цілями державного регулювання, що будуть досягнуті з прийняттям </w:t>
      </w:r>
      <w:proofErr w:type="spellStart"/>
      <w:r w:rsidRPr="00812C2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27">
        <w:rPr>
          <w:rFonts w:ascii="Times New Roman" w:hAnsi="Times New Roman"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sz w:val="28"/>
          <w:szCs w:val="28"/>
        </w:rPr>
        <w:t>, є: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створення системи прозорих та чітких вимог до проектування, будівництва, оснащення та експлуатації установок;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удосконалення контролю за забрудненням навколишнього природного середовища під час спалювання відходів;</w:t>
      </w:r>
    </w:p>
    <w:p w:rsidR="0044748F" w:rsidRPr="00812C27" w:rsidRDefault="009A3A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захист прав, законних інтересів, життя та здоров’я громадян, охорона навколишнього природного середовища та забезпечення безпеки держави шляхом вживання відповідних заходів;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підвищенню рівня відповідальності суб'єктів господарювання що здійснюють спалювання відходів. </w:t>
      </w:r>
    </w:p>
    <w:p w:rsidR="0044748F" w:rsidRPr="00812C27" w:rsidRDefault="00447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>ІІІ. Визначення та оцінка альтернативних способів досягнення визначених цілей</w:t>
      </w:r>
    </w:p>
    <w:p w:rsidR="0044748F" w:rsidRPr="00812C27" w:rsidRDefault="0044748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1.</w:t>
      </w:r>
      <w:r w:rsidRPr="00812C27">
        <w:rPr>
          <w:rFonts w:ascii="Times New Roman" w:hAnsi="Times New Roman"/>
          <w:b/>
          <w:sz w:val="28"/>
          <w:szCs w:val="28"/>
        </w:rPr>
        <w:t xml:space="preserve"> </w:t>
      </w:r>
      <w:r w:rsidRPr="00812C27">
        <w:rPr>
          <w:rFonts w:ascii="Times New Roman" w:hAnsi="Times New Roman"/>
          <w:bCs/>
          <w:sz w:val="28"/>
          <w:szCs w:val="28"/>
        </w:rPr>
        <w:t>Визначення альтернативних способів</w:t>
      </w:r>
    </w:p>
    <w:p w:rsidR="0044748F" w:rsidRPr="00812C27" w:rsidRDefault="004474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812C27" w:rsidRPr="00812C27" w:rsidTr="00EB6F7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6CCF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6CCF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Опис альтернативи</w:t>
            </w:r>
          </w:p>
        </w:tc>
      </w:tr>
      <w:tr w:rsidR="00812C27" w:rsidRPr="00812C27" w:rsidTr="00EB6F7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rStyle w:val="FontStyle41"/>
                <w:b w:val="0"/>
                <w:bCs w:val="0"/>
                <w:sz w:val="27"/>
                <w:szCs w:val="27"/>
              </w:rPr>
            </w:pPr>
            <w:r w:rsidRPr="00812C27">
              <w:rPr>
                <w:bCs/>
                <w:sz w:val="28"/>
                <w:szCs w:val="28"/>
              </w:rPr>
              <w:t xml:space="preserve">Альтернатива 1 </w:t>
            </w:r>
            <w:r w:rsidRPr="00812C27">
              <w:rPr>
                <w:sz w:val="27"/>
                <w:szCs w:val="27"/>
                <w:lang w:bidi="uk-UA"/>
              </w:rPr>
              <w:t>Збереження ситуації, яка є на цей час</w:t>
            </w: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Не забезпечується виконання вимог щодо нормативно-правового врегулювання питань, пов’язаних із </w:t>
            </w: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 xml:space="preserve">проектуванням, будівництвом, оснащенням та експлуатацією установок </w:t>
            </w:r>
          </w:p>
          <w:p w:rsidR="0044748F" w:rsidRPr="00812C27" w:rsidRDefault="0044748F" w:rsidP="003029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12C27" w:rsidRPr="00812C27" w:rsidTr="00EB6F7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2 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>акта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>, розробленого в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ідповідно до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пункту 4 частини першої статті 20 Закону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створить систему прозорих та чітких вимог до проектування, будівництва, оснащення та експлуатації установок, а також умови для удосконалення контролю за забрудненням навколишнього середовища під час спалювання відходів</w:t>
            </w:r>
          </w:p>
          <w:p w:rsidR="0044748F" w:rsidRPr="00812C27" w:rsidRDefault="0044748F" w:rsidP="003029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4748F" w:rsidRPr="00812C27" w:rsidRDefault="0044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2</w:t>
      </w:r>
      <w:r w:rsidRPr="00812C27">
        <w:rPr>
          <w:rFonts w:ascii="Times New Roman" w:hAnsi="Times New Roman"/>
          <w:bCs/>
          <w:sz w:val="28"/>
          <w:szCs w:val="28"/>
        </w:rPr>
        <w:t>. Оцінка вибраних альтернативних способів досягнення цілей</w:t>
      </w:r>
    </w:p>
    <w:p w:rsidR="0044748F" w:rsidRPr="00812C27" w:rsidRDefault="004474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4748F" w:rsidRPr="00812C27" w:rsidRDefault="009A3AFF">
      <w:pPr>
        <w:spacing w:after="24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12C27">
        <w:rPr>
          <w:rFonts w:ascii="Times New Roman" w:hAnsi="Times New Roman"/>
          <w:bCs/>
          <w:sz w:val="28"/>
          <w:szCs w:val="28"/>
        </w:rPr>
        <w:t xml:space="preserve">Оцінка впливу на сферу інтересів держави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4678"/>
        <w:gridCol w:w="3543"/>
      </w:tblGrid>
      <w:tr w:rsidR="00812C27" w:rsidRPr="00812C27" w:rsidTr="00B140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Витрати</w:t>
            </w:r>
          </w:p>
        </w:tc>
      </w:tr>
      <w:tr w:rsidR="00812C27" w:rsidRPr="00812C27" w:rsidTr="00B140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bCs w:val="0"/>
                <w:sz w:val="27"/>
                <w:szCs w:val="27"/>
              </w:rPr>
            </w:pPr>
            <w:r w:rsidRPr="00812C27">
              <w:rPr>
                <w:bCs/>
                <w:sz w:val="28"/>
                <w:szCs w:val="28"/>
              </w:rPr>
              <w:t xml:space="preserve">Альтернатива 1 </w:t>
            </w:r>
            <w:r w:rsidRPr="00812C27">
              <w:rPr>
                <w:sz w:val="27"/>
                <w:szCs w:val="27"/>
                <w:lang w:bidi="uk-UA"/>
              </w:rPr>
              <w:t>Збереження ситуації, яка є на цей час</w:t>
            </w: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Відсутні, оскільки проблема залишається невирішеною.</w:t>
            </w:r>
          </w:p>
          <w:p w:rsidR="00D056EB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Залишаються нереалізованими положення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пункту 4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 xml:space="preserve">частини першої статті 20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Закону, що в свою чергу унеможливлює реалізацію державної політики у сфері управління відходами щодо належної експлуатації установок </w:t>
            </w:r>
          </w:p>
          <w:p w:rsidR="00B14065" w:rsidRPr="00812C27" w:rsidRDefault="00B14065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  <w:p w:rsidR="0044748F" w:rsidRPr="00812C27" w:rsidRDefault="004474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C27" w:rsidRPr="00812C27" w:rsidTr="00B140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2 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сприятиме: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створенню прозорих та чітких вимог до проектування, будівництва, оснащення та експлуатації установок;</w:t>
            </w:r>
          </w:p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підвищенню ефективності функцій контролю, що створить умови для покращення стану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навколишнього природного середовища при спалюванні відходів</w:t>
            </w:r>
          </w:p>
          <w:p w:rsidR="00B14065" w:rsidRPr="00812C27" w:rsidRDefault="00B14065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  <w:p w:rsidR="0044748F" w:rsidRPr="00812C27" w:rsidRDefault="00447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4748F" w:rsidRPr="00812C27" w:rsidRDefault="00447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4748F" w:rsidRPr="00812C27" w:rsidRDefault="004474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lastRenderedPageBreak/>
        <w:t>Оцінка впливу на сферу інтересів громадян</w:t>
      </w:r>
    </w:p>
    <w:p w:rsidR="0044748F" w:rsidRPr="00812C27" w:rsidRDefault="004474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3321"/>
        <w:gridCol w:w="5038"/>
        <w:gridCol w:w="1842"/>
      </w:tblGrid>
      <w:tr w:rsidR="00812C27" w:rsidRPr="00812C27" w:rsidTr="0004666B">
        <w:tc>
          <w:tcPr>
            <w:tcW w:w="3321" w:type="dxa"/>
          </w:tcPr>
          <w:p w:rsidR="0044748F" w:rsidRPr="00812C27" w:rsidRDefault="009A3AFF">
            <w:pPr>
              <w:pBdr>
                <w:between w:val="single" w:sz="4" w:space="1" w:color="auto"/>
              </w:pBd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5038" w:type="dxa"/>
          </w:tcPr>
          <w:p w:rsidR="0044748F" w:rsidRPr="00812C27" w:rsidRDefault="009A3AF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1842" w:type="dxa"/>
          </w:tcPr>
          <w:p w:rsidR="0044748F" w:rsidRPr="00812C27" w:rsidRDefault="009A3AF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Витрати</w:t>
            </w:r>
          </w:p>
        </w:tc>
      </w:tr>
      <w:tr w:rsidR="00812C27" w:rsidRPr="00812C27" w:rsidTr="0004666B">
        <w:tc>
          <w:tcPr>
            <w:tcW w:w="3321" w:type="dxa"/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Альтернатива 1</w:t>
            </w:r>
          </w:p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5038" w:type="dxa"/>
            <w:shd w:val="clear" w:color="auto" w:fill="auto"/>
          </w:tcPr>
          <w:p w:rsidR="0044748F" w:rsidRPr="00812C27" w:rsidRDefault="009A3AFF" w:rsidP="003029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Відсутні.</w:t>
            </w:r>
          </w:p>
          <w:p w:rsidR="0044748F" w:rsidRPr="00812C27" w:rsidRDefault="009A3AFF" w:rsidP="003029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Альтернатива є неприйнятною, оскільки не забезпечує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захист прав, законних інтересів, життя та здоров’я громадян</w:t>
            </w:r>
          </w:p>
        </w:tc>
        <w:tc>
          <w:tcPr>
            <w:tcW w:w="1842" w:type="dxa"/>
            <w:shd w:val="clear" w:color="auto" w:fill="auto"/>
          </w:tcPr>
          <w:p w:rsidR="0044748F" w:rsidRPr="00812C27" w:rsidRDefault="009A3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  <w:tr w:rsidR="00812C27" w:rsidRPr="00812C27" w:rsidTr="0004666B">
        <w:tc>
          <w:tcPr>
            <w:tcW w:w="3321" w:type="dxa"/>
          </w:tcPr>
          <w:p w:rsidR="0044748F" w:rsidRPr="00812C27" w:rsidRDefault="009A3AFF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sz w:val="28"/>
                <w:szCs w:val="28"/>
                <w:lang w:val="uk-UA"/>
              </w:rPr>
            </w:pPr>
            <w:r w:rsidRPr="00812C27">
              <w:rPr>
                <w:sz w:val="28"/>
                <w:szCs w:val="28"/>
                <w:lang w:val="uk-UA"/>
              </w:rPr>
              <w:t>Альтернатива 2</w:t>
            </w:r>
          </w:p>
          <w:p w:rsidR="0044748F" w:rsidRPr="00812C27" w:rsidRDefault="009A3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5038" w:type="dxa"/>
            <w:shd w:val="clear" w:color="auto" w:fill="auto"/>
          </w:tcPr>
          <w:p w:rsidR="0044748F" w:rsidRPr="00812C27" w:rsidRDefault="009A3AFF" w:rsidP="003029EF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jc w:val="lef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12C27">
              <w:rPr>
                <w:rFonts w:eastAsiaTheme="minorHAnsi"/>
                <w:sz w:val="28"/>
                <w:szCs w:val="28"/>
                <w:lang w:val="uk-UA" w:eastAsia="en-US"/>
              </w:rPr>
              <w:t>Високі</w:t>
            </w:r>
          </w:p>
          <w:p w:rsidR="0044748F" w:rsidRPr="00812C27" w:rsidRDefault="009A3AFF" w:rsidP="003029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Належна експлуатація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установок сприяє покращенню здоров’я населення </w:t>
            </w:r>
          </w:p>
        </w:tc>
        <w:tc>
          <w:tcPr>
            <w:tcW w:w="1842" w:type="dxa"/>
            <w:shd w:val="clear" w:color="auto" w:fill="auto"/>
          </w:tcPr>
          <w:p w:rsidR="0044748F" w:rsidRPr="00812C27" w:rsidRDefault="009A3A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</w:tbl>
    <w:p w:rsidR="0044748F" w:rsidRPr="00812C27" w:rsidRDefault="009A3AFF" w:rsidP="00263CB7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Оцінка впливу на сферу інтересів суб’єктів господарювання</w:t>
      </w:r>
    </w:p>
    <w:p w:rsidR="0044748F" w:rsidRPr="00812C27" w:rsidRDefault="0044748F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bCs/>
          <w:sz w:val="16"/>
          <w:szCs w:val="16"/>
          <w:lang w:eastAsia="uk-UA"/>
        </w:rPr>
      </w:pPr>
    </w:p>
    <w:p w:rsidR="0044748F" w:rsidRPr="00812C27" w:rsidRDefault="009A3AFF" w:rsidP="00B44CC9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Пунктом 2 </w:t>
      </w:r>
      <w:proofErr w:type="spellStart"/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проєкту</w:t>
      </w:r>
      <w:proofErr w:type="spellEnd"/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812C27">
        <w:rPr>
          <w:rFonts w:ascii="Times New Roman" w:hAnsi="Times New Roman"/>
          <w:bCs/>
          <w:sz w:val="28"/>
          <w:szCs w:val="28"/>
        </w:rPr>
        <w:t xml:space="preserve">Правил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визначено, що ці Правила є </w:t>
      </w:r>
      <w:r w:rsidRPr="00812C27">
        <w:rPr>
          <w:rFonts w:ascii="Times New Roman" w:hAnsi="Times New Roman"/>
          <w:bCs/>
          <w:sz w:val="28"/>
        </w:rPr>
        <w:t xml:space="preserve">обов’язковими для виконання усіма суб’єктами господарювання, які здійснюють проектування, будівництво, оснащення та експлуатацію установок. </w:t>
      </w:r>
      <w:r w:rsidRPr="00812C27">
        <w:rPr>
          <w:rFonts w:ascii="Times New Roman" w:hAnsi="Times New Roman"/>
          <w:bCs/>
          <w:sz w:val="28"/>
          <w:szCs w:val="28"/>
        </w:rPr>
        <w:t xml:space="preserve"> </w:t>
      </w:r>
    </w:p>
    <w:p w:rsidR="0044748F" w:rsidRPr="00812C27" w:rsidRDefault="009A3AFF" w:rsidP="00B44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Відповідно до </w:t>
      </w:r>
      <w:hyperlink r:id="rId8" w:history="1">
        <w:r w:rsidRPr="00812C27">
          <w:rPr>
            <w:rStyle w:val="aa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uk-UA"/>
          </w:rPr>
          <w:t>даних</w:t>
        </w:r>
      </w:hyperlink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Державної служби статистики України про кількість установок для поводження з відходами, спеціально відведених місць та об’єктів видалення відходів в 2022 році в Україні функціонувало 335 установок спалювання відходів* (264 – для спалювання відходів з метою отримання енергії та 71 – для спалювання відходів з метою теплового перероблення відходів). </w:t>
      </w:r>
    </w:p>
    <w:p w:rsidR="0044748F" w:rsidRPr="00812C27" w:rsidRDefault="009A3AFF" w:rsidP="00B44CC9">
      <w:pPr>
        <w:pStyle w:val="rvps2"/>
        <w:spacing w:before="0" w:beforeAutospacing="0" w:after="120" w:afterAutospacing="0"/>
        <w:ind w:firstLine="567"/>
        <w:jc w:val="both"/>
        <w:rPr>
          <w:sz w:val="27"/>
          <w:szCs w:val="27"/>
          <w:lang w:val="uk-UA"/>
        </w:rPr>
      </w:pPr>
      <w:r w:rsidRPr="00812C27">
        <w:rPr>
          <w:sz w:val="27"/>
          <w:szCs w:val="27"/>
          <w:lang w:val="uk-UA"/>
        </w:rPr>
        <w:t xml:space="preserve">Припускається, що 335 </w:t>
      </w:r>
      <w:r w:rsidRPr="00812C27">
        <w:rPr>
          <w:rStyle w:val="FontStyle41"/>
          <w:b w:val="0"/>
          <w:sz w:val="27"/>
          <w:szCs w:val="27"/>
          <w:lang w:val="uk-UA"/>
        </w:rPr>
        <w:t>суб’єктів господарювання</w:t>
      </w:r>
      <w:r w:rsidRPr="00812C27">
        <w:rPr>
          <w:sz w:val="27"/>
          <w:szCs w:val="27"/>
          <w:lang w:val="uk-UA"/>
        </w:rPr>
        <w:t xml:space="preserve"> підпадають під дію цього регуляторного </w:t>
      </w:r>
      <w:proofErr w:type="spellStart"/>
      <w:r w:rsidRPr="00812C27">
        <w:rPr>
          <w:sz w:val="27"/>
          <w:szCs w:val="27"/>
          <w:lang w:val="uk-UA"/>
        </w:rPr>
        <w:t>акта</w:t>
      </w:r>
      <w:proofErr w:type="spellEnd"/>
      <w:r w:rsidRPr="00812C27">
        <w:rPr>
          <w:sz w:val="27"/>
          <w:szCs w:val="27"/>
          <w:lang w:val="uk-UA"/>
        </w:rPr>
        <w:t>.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77"/>
        <w:gridCol w:w="1134"/>
      </w:tblGrid>
      <w:tr w:rsidR="00812C27" w:rsidRPr="00812C27" w:rsidTr="00354796">
        <w:tc>
          <w:tcPr>
            <w:tcW w:w="3964" w:type="dxa"/>
            <w:shd w:val="clear" w:color="auto" w:fill="auto"/>
          </w:tcPr>
          <w:p w:rsidR="00B14065" w:rsidRPr="00812C27" w:rsidRDefault="00B14065" w:rsidP="00B14065">
            <w:pPr>
              <w:tabs>
                <w:tab w:val="left" w:pos="180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B14065" w:rsidRPr="00812C27" w:rsidRDefault="00B14065" w:rsidP="00B1406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Великі</w:t>
            </w:r>
          </w:p>
        </w:tc>
        <w:tc>
          <w:tcPr>
            <w:tcW w:w="1276" w:type="dxa"/>
            <w:shd w:val="clear" w:color="auto" w:fill="auto"/>
          </w:tcPr>
          <w:p w:rsidR="00B14065" w:rsidRPr="00812C27" w:rsidRDefault="00B14065" w:rsidP="00B1406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Середні</w:t>
            </w:r>
          </w:p>
        </w:tc>
        <w:tc>
          <w:tcPr>
            <w:tcW w:w="1276" w:type="dxa"/>
            <w:shd w:val="clear" w:color="auto" w:fill="auto"/>
          </w:tcPr>
          <w:p w:rsidR="00B14065" w:rsidRPr="00812C27" w:rsidRDefault="00B14065" w:rsidP="00B1406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Малі</w:t>
            </w:r>
          </w:p>
        </w:tc>
        <w:tc>
          <w:tcPr>
            <w:tcW w:w="1277" w:type="dxa"/>
            <w:shd w:val="clear" w:color="auto" w:fill="auto"/>
          </w:tcPr>
          <w:p w:rsidR="00B14065" w:rsidRPr="00812C27" w:rsidRDefault="001618CF" w:rsidP="00B1406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Мікро</w:t>
            </w:r>
          </w:p>
        </w:tc>
        <w:tc>
          <w:tcPr>
            <w:tcW w:w="1134" w:type="dxa"/>
          </w:tcPr>
          <w:p w:rsidR="00B14065" w:rsidRPr="00812C27" w:rsidRDefault="00B14065" w:rsidP="00B1406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Разом</w:t>
            </w:r>
          </w:p>
        </w:tc>
      </w:tr>
      <w:tr w:rsidR="00812C27" w:rsidRPr="00812C27" w:rsidTr="00354796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Кількість суб’єктів господарювання, що підпадають під дію регулювання, одиниць станом на 2022 рік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4065" w:rsidRPr="00812C27" w:rsidRDefault="00B14065" w:rsidP="00DF00D6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B14065" w:rsidRPr="00812C27" w:rsidTr="00354796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44CC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60,3%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33,4%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6,3%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B14065" w:rsidRPr="00812C27" w:rsidRDefault="00B14065" w:rsidP="00B14065">
            <w:pPr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4065" w:rsidRPr="00812C27" w:rsidRDefault="00B14065" w:rsidP="00B14065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44748F" w:rsidRPr="00812C27" w:rsidRDefault="0044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3042"/>
        <w:gridCol w:w="5288"/>
      </w:tblGrid>
      <w:tr w:rsidR="00812C27" w:rsidRPr="00812C27" w:rsidTr="00B14065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Витрати, грн</w:t>
            </w:r>
          </w:p>
        </w:tc>
      </w:tr>
      <w:tr w:rsidR="00812C27" w:rsidRPr="00812C27" w:rsidTr="00B14065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 </w:t>
            </w:r>
          </w:p>
          <w:p w:rsidR="0044748F" w:rsidRPr="00812C27" w:rsidRDefault="009A3AFF" w:rsidP="001B3146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812C27">
              <w:rPr>
                <w:sz w:val="28"/>
                <w:szCs w:val="28"/>
                <w:lang w:bidi="uk-UA"/>
              </w:rPr>
              <w:t>Збереження ситуації, яка є на цей час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Вигоди відсутні, оскільки проблема залишається не вирішеною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0 гривень</w:t>
            </w:r>
          </w:p>
        </w:tc>
      </w:tr>
    </w:tbl>
    <w:p w:rsidR="00B14065" w:rsidRPr="00812C27" w:rsidRDefault="00B14065" w:rsidP="00B14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</w:t>
      </w:r>
    </w:p>
    <w:p w:rsidR="00B44CC9" w:rsidRPr="00812C27" w:rsidRDefault="00B44CC9" w:rsidP="00B14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:rsidR="00B14065" w:rsidRPr="00812C27" w:rsidRDefault="00B14065" w:rsidP="00B14065">
      <w:pPr>
        <w:spacing w:after="0" w:line="240" w:lineRule="auto"/>
        <w:jc w:val="both"/>
        <w:rPr>
          <w:rStyle w:val="aa"/>
          <w:rFonts w:ascii="Times New Roman" w:hAnsi="Times New Roman"/>
          <w:color w:val="auto"/>
          <w:sz w:val="20"/>
          <w:szCs w:val="20"/>
          <w:u w:val="none"/>
        </w:rPr>
      </w:pPr>
      <w:r w:rsidRPr="00812C27">
        <w:rPr>
          <w:rFonts w:ascii="Times New Roman" w:hAnsi="Times New Roman"/>
          <w:sz w:val="20"/>
          <w:szCs w:val="20"/>
        </w:rPr>
        <w:t>* </w:t>
      </w:r>
      <w:hyperlink r:id="rId9" w:history="1">
        <w:r w:rsidRPr="00812C27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https://ukrstat.gov.ua/operativ/operativ2018/ns/kusm/arch_kusm_u.htm</w:t>
        </w:r>
      </w:hyperlink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3033"/>
        <w:gridCol w:w="5386"/>
      </w:tblGrid>
      <w:tr w:rsidR="00FF0A5B" w:rsidRPr="00812C27" w:rsidTr="002E0958">
        <w:trPr>
          <w:trHeight w:val="249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 xml:space="preserve">Альтернатива 2 </w:t>
            </w:r>
          </w:p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Суб’єкти господарювання отримають: </w:t>
            </w:r>
          </w:p>
          <w:p w:rsidR="0044748F" w:rsidRPr="00812C27" w:rsidRDefault="009A3AFF">
            <w:pPr>
              <w:shd w:val="clear" w:color="auto" w:fill="FFFFFF"/>
              <w:tabs>
                <w:tab w:val="left" w:pos="267"/>
              </w:tabs>
              <w:spacing w:after="0" w:line="240" w:lineRule="auto"/>
              <w:ind w:left="33" w:firstLine="23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єдину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процедуру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проектування, будівництва, оснащення та експлуатації установок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bookmarkStart w:id="5" w:name="_28h4qwu" w:colFirst="0" w:colLast="0"/>
            <w:bookmarkEnd w:id="5"/>
          </w:p>
          <w:p w:rsidR="0023679B" w:rsidRPr="00812C27" w:rsidRDefault="009A3AFF" w:rsidP="0023679B">
            <w:pPr>
              <w:shd w:val="clear" w:color="auto" w:fill="FFFFFF"/>
              <w:tabs>
                <w:tab w:val="left" w:pos="26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відповідність європейським стандартам,</w:t>
            </w:r>
            <w:r w:rsidR="0075761B"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що </w:t>
            </w:r>
            <w:r w:rsidR="0075761B" w:rsidRPr="00812C27">
              <w:rPr>
                <w:rFonts w:ascii="Times New Roman" w:hAnsi="Times New Roman"/>
                <w:sz w:val="28"/>
                <w:szCs w:val="28"/>
              </w:rPr>
              <w:t>може покращити імідж суб’єктів</w:t>
            </w:r>
            <w:r w:rsidR="0023679B" w:rsidRPr="00812C27">
              <w:rPr>
                <w:rFonts w:ascii="Times New Roman" w:hAnsi="Times New Roman"/>
                <w:sz w:val="28"/>
                <w:szCs w:val="28"/>
              </w:rPr>
              <w:t xml:space="preserve"> господарювання</w:t>
            </w:r>
            <w:r w:rsidR="0023679B" w:rsidRPr="00812C27">
              <w:rPr>
                <w:rFonts w:ascii="Times New Roman" w:hAnsi="Times New Roman"/>
                <w:bCs/>
                <w:sz w:val="28"/>
                <w:szCs w:val="28"/>
              </w:rPr>
              <w:t xml:space="preserve">, які здійснюють проектування, будівництво, оснащення та експлуатацію установок, </w:t>
            </w:r>
            <w:r w:rsidR="0023679B" w:rsidRPr="00812C27">
              <w:rPr>
                <w:rFonts w:ascii="Times New Roman" w:hAnsi="Times New Roman"/>
                <w:sz w:val="28"/>
                <w:szCs w:val="28"/>
              </w:rPr>
              <w:t>та зробить їх більш конкурентоспроможними на внутрішньому та зовнішньому ринках</w:t>
            </w:r>
          </w:p>
          <w:p w:rsidR="0044748F" w:rsidRPr="00812C27" w:rsidRDefault="0044748F" w:rsidP="004740CF">
            <w:pPr>
              <w:shd w:val="clear" w:color="auto" w:fill="FFFFFF"/>
              <w:tabs>
                <w:tab w:val="left" w:pos="267"/>
              </w:tabs>
              <w:spacing w:after="0" w:line="240" w:lineRule="auto"/>
              <w:ind w:left="33" w:firstLine="28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7D4369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12C27">
              <w:rPr>
                <w:sz w:val="28"/>
                <w:szCs w:val="28"/>
              </w:rPr>
              <w:t>Орієнтовні середні витрати на ознайомлення з нормативно-правовою базою становитимуть 48,00 гривень.</w:t>
            </w:r>
          </w:p>
          <w:p w:rsidR="000D6D34" w:rsidRPr="00812C27" w:rsidRDefault="009A3AFF" w:rsidP="007D436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суб’єктів господарювання </w:t>
            </w: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>великого і середнього підприємництва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за перший рік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становитимуть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D448B3">
              <w:rPr>
                <w:rFonts w:ascii="Times New Roman" w:hAnsi="Times New Roman"/>
                <w:sz w:val="28"/>
                <w:szCs w:val="28"/>
              </w:rPr>
              <w:t>7 883 284,</w:t>
            </w:r>
            <w:r w:rsidR="0001297D">
              <w:rPr>
                <w:rFonts w:ascii="Times New Roman" w:hAnsi="Times New Roman"/>
                <w:sz w:val="28"/>
                <w:szCs w:val="28"/>
              </w:rPr>
              <w:t xml:space="preserve"> 147 92</w:t>
            </w:r>
            <w:r w:rsidR="005844AF" w:rsidRPr="00812C27">
              <w:rPr>
                <w:rFonts w:ascii="Times New Roman" w:hAnsi="Times New Roman"/>
                <w:sz w:val="28"/>
                <w:szCs w:val="28"/>
              </w:rPr>
              <w:t>7 284</w:t>
            </w:r>
            <w:r w:rsidR="002E0958" w:rsidRPr="00812C27">
              <w:rPr>
                <w:rFonts w:ascii="Times New Roman" w:hAnsi="Times New Roman"/>
                <w:sz w:val="28"/>
                <w:szCs w:val="28"/>
              </w:rPr>
              <w:t> гривень</w:t>
            </w:r>
            <w:r w:rsidR="009237F2" w:rsidRPr="00812C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79B" w:rsidRPr="00812C27" w:rsidRDefault="0075761B" w:rsidP="0023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Передбачається здійснення витрат пов’язаних із виконанням Правил,</w:t>
            </w:r>
            <w:r w:rsidR="0065703A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зокрема щодо облаштування території на яких здійснюється діяльність</w:t>
            </w:r>
            <w:r w:rsidR="00C83A2D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установок, закупівлю обладнання для</w:t>
            </w:r>
            <w:r w:rsidR="00D056E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автоматичного контролю викидів в атмосферу та водні ресурси, здійснення протипожежних </w:t>
            </w:r>
            <w:r w:rsidR="0023679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заходів тощо </w:t>
            </w:r>
            <w:r w:rsidR="0023679B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23679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витрати суб’єктів господарювання, </w:t>
            </w:r>
            <w:r w:rsidR="0023679B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 будуть експлуатувати нові установки або</w:t>
            </w:r>
            <w:r w:rsidR="0023679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дотримувались загальних вимог природоохоронного законодавства до прийняття </w:t>
            </w:r>
            <w:proofErr w:type="spellStart"/>
            <w:r w:rsidR="0023679B"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="0023679B"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79B"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="0023679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будуть нижче</w:t>
            </w:r>
            <w:r w:rsidR="0023679B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Наприклад, наявність огорожі, воріт, первинних засобів пожежогасіння тощо).</w:t>
            </w:r>
          </w:p>
          <w:p w:rsidR="0075761B" w:rsidRPr="00812C27" w:rsidRDefault="0023679B" w:rsidP="0023679B">
            <w:pPr>
              <w:spacing w:after="0" w:line="240" w:lineRule="auto"/>
              <w:ind w:firstLine="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Водночас запровадження процедур екологічного контролю дасть змогу підприємствам відповідати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європейським стандартам, сформувати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екопозитивний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імідж та підвищити свою конкурентоспроможність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 як на внутрішньому, так і на зовнішньому ринках</w:t>
            </w:r>
          </w:p>
          <w:p w:rsidR="002E0958" w:rsidRPr="00812C27" w:rsidRDefault="002E0958" w:rsidP="0023679B">
            <w:pPr>
              <w:spacing w:after="0" w:line="240" w:lineRule="auto"/>
              <w:ind w:firstLine="57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4740CF" w:rsidRPr="00812C27" w:rsidRDefault="004740CF" w:rsidP="00236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812C27" w:rsidRPr="00812C27" w:rsidTr="002E0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Сумарні витрати за альтернативами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Сума витрат, гривень</w:t>
            </w:r>
          </w:p>
        </w:tc>
      </w:tr>
      <w:tr w:rsidR="00812C27" w:rsidRPr="00812C27" w:rsidTr="002E0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1</w:t>
            </w:r>
          </w:p>
          <w:p w:rsidR="0044748F" w:rsidRPr="00812C27" w:rsidRDefault="009A3AFF" w:rsidP="0030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bidi="uk-UA"/>
              </w:rPr>
              <w:t>Збереження ситуації, яка є на цей час</w:t>
            </w:r>
          </w:p>
          <w:p w:rsidR="0044748F" w:rsidRPr="00812C27" w:rsidRDefault="009A3AFF" w:rsidP="0030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для суб’єктів господарювання великого і середнього підприємництва </w:t>
            </w:r>
          </w:p>
          <w:p w:rsidR="002E0958" w:rsidRPr="00812C27" w:rsidRDefault="002E0958" w:rsidP="0075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pStyle w:val="ab"/>
              <w:ind w:right="119" w:firstLine="293"/>
              <w:jc w:val="both"/>
              <w:rPr>
                <w:bCs/>
                <w:strike/>
                <w:color w:val="auto"/>
                <w:sz w:val="28"/>
                <w:szCs w:val="28"/>
                <w:lang w:val="uk-UA" w:eastAsia="uk-UA"/>
              </w:rPr>
            </w:pPr>
            <w:r w:rsidRPr="00812C27">
              <w:rPr>
                <w:color w:val="auto"/>
                <w:sz w:val="28"/>
                <w:szCs w:val="28"/>
                <w:lang w:val="uk-UA"/>
              </w:rPr>
              <w:t>0 гривень</w:t>
            </w:r>
          </w:p>
        </w:tc>
      </w:tr>
      <w:tr w:rsidR="00FF0A5B" w:rsidRPr="00812C27" w:rsidTr="002E09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Альтернатива 2</w:t>
            </w:r>
          </w:p>
          <w:p w:rsidR="0044748F" w:rsidRPr="00812C27" w:rsidRDefault="009A3AFF" w:rsidP="0030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для суб’єктів господарювання великого і середнього підприємництва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B" w:rsidRPr="00812C27" w:rsidRDefault="0065703A" w:rsidP="00302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Сумарні витрати суб’єктів господарювання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будуть експлуатувати нові установки, </w:t>
            </w:r>
            <w:r w:rsidR="00D056E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 п’ять років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становитимуть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44AF" w:rsidRPr="00812C27">
              <w:rPr>
                <w:rFonts w:ascii="Times New Roman" w:hAnsi="Times New Roman"/>
                <w:sz w:val="28"/>
                <w:szCs w:val="28"/>
              </w:rPr>
              <w:t>7 883 284 </w:t>
            </w:r>
            <w:r w:rsidR="00D056EB" w:rsidRPr="00812C27">
              <w:rPr>
                <w:rFonts w:ascii="Times New Roman" w:hAnsi="Times New Roman"/>
                <w:sz w:val="28"/>
                <w:szCs w:val="28"/>
              </w:rPr>
              <w:t>гривень</w:t>
            </w:r>
            <w:r w:rsidR="00955236" w:rsidRPr="00812C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Сумарні витрати суб’єктів господарювання</w:t>
            </w:r>
            <w:r w:rsidR="00CB4A44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, які </w:t>
            </w:r>
            <w:r w:rsidR="00CB4A44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експлуатують установки,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за п’ять років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становитимуть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3029EF">
              <w:rPr>
                <w:rFonts w:ascii="Times New Roman" w:hAnsi="Times New Roman"/>
                <w:sz w:val="28"/>
                <w:szCs w:val="28"/>
              </w:rPr>
              <w:t xml:space="preserve">609 154 348, </w:t>
            </w:r>
            <w:r w:rsidR="00AD2B6C" w:rsidRPr="00812C27">
              <w:rPr>
                <w:rFonts w:ascii="Times New Roman" w:hAnsi="Times New Roman"/>
                <w:sz w:val="28"/>
                <w:szCs w:val="28"/>
              </w:rPr>
              <w:t>749 198 348 </w:t>
            </w:r>
            <w:r w:rsidR="00D056EB" w:rsidRPr="00812C27">
              <w:rPr>
                <w:rFonts w:ascii="Times New Roman" w:hAnsi="Times New Roman"/>
                <w:sz w:val="28"/>
                <w:szCs w:val="28"/>
              </w:rPr>
              <w:t>гривень</w:t>
            </w:r>
            <w:r w:rsidR="00955236" w:rsidRPr="00812C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2B96" w:rsidRPr="00812C27" w:rsidRDefault="009A3AFF" w:rsidP="0030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Не дивлячись на те, що суб’єкти великого підприємництва нестимуть витрати </w:t>
            </w:r>
            <w:r w:rsidR="0075761B" w:rsidRPr="00812C27">
              <w:rPr>
                <w:rFonts w:ascii="Times New Roman" w:hAnsi="Times New Roman"/>
                <w:sz w:val="28"/>
                <w:szCs w:val="28"/>
                <w:lang w:eastAsia="zh-CN"/>
              </w:rPr>
              <w:t>під час реалізації</w:t>
            </w:r>
            <w:r w:rsidRPr="00812C2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при цьому такі суб’єкти будуть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відповідати європейським стандартам, що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зробить їх більш конкурентоспроможними на внутрішньому та зовнішньому ринках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2E0958" w:rsidRPr="00812C27" w:rsidRDefault="002E0958" w:rsidP="00B1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B14065" w:rsidRPr="00812C27" w:rsidRDefault="00B14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44748F" w:rsidRPr="00812C27" w:rsidRDefault="0044748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6237"/>
      </w:tblGrid>
      <w:tr w:rsidR="00812C27" w:rsidRPr="00812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B44CC9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B44CC9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Бал </w:t>
            </w:r>
            <w:proofErr w:type="spellStart"/>
            <w:r w:rsidRPr="00812C27">
              <w:rPr>
                <w:rFonts w:ascii="Times New Roman" w:eastAsia="Times New Roman" w:hAnsi="Times New Roman"/>
                <w:b/>
                <w:bCs/>
                <w:lang w:eastAsia="uk-UA"/>
              </w:rPr>
              <w:t>резуль-тативності</w:t>
            </w:r>
            <w:proofErr w:type="spellEnd"/>
            <w:r w:rsidRPr="00812C2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(за чотирибальною системою оцінки)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B44CC9">
            <w:pPr>
              <w:tabs>
                <w:tab w:val="left" w:pos="140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lang w:eastAsia="uk-UA"/>
              </w:rPr>
              <w:t xml:space="preserve">Коментарі </w:t>
            </w:r>
            <w:r w:rsidRPr="00812C27">
              <w:rPr>
                <w:rFonts w:ascii="Times New Roman" w:eastAsia="Times New Roman" w:hAnsi="Times New Roman"/>
                <w:b/>
                <w:lang w:eastAsia="uk-UA"/>
              </w:rPr>
              <w:br/>
              <w:t xml:space="preserve">щодо присвоєння відповідного </w:t>
            </w:r>
            <w:proofErr w:type="spellStart"/>
            <w:r w:rsidRPr="00812C27">
              <w:rPr>
                <w:rFonts w:ascii="Times New Roman" w:eastAsia="Times New Roman" w:hAnsi="Times New Roman"/>
                <w:b/>
                <w:lang w:eastAsia="uk-UA"/>
              </w:rPr>
              <w:t>бала</w:t>
            </w:r>
            <w:proofErr w:type="spellEnd"/>
          </w:p>
        </w:tc>
      </w:tr>
      <w:tr w:rsidR="00812C27" w:rsidRPr="00812C27" w:rsidTr="00B140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bidi="uk-UA"/>
              </w:rPr>
            </w:pPr>
            <w:r w:rsidRPr="00812C27">
              <w:rPr>
                <w:bCs/>
                <w:sz w:val="28"/>
                <w:szCs w:val="28"/>
              </w:rPr>
              <w:t xml:space="preserve">Альтернатива 1 </w:t>
            </w:r>
            <w:r w:rsidRPr="00812C27">
              <w:rPr>
                <w:sz w:val="28"/>
                <w:szCs w:val="28"/>
                <w:lang w:bidi="uk-UA"/>
              </w:rPr>
              <w:t>Збереження ситуації, яка є на цей час</w:t>
            </w:r>
          </w:p>
          <w:p w:rsidR="00B44CC9" w:rsidRPr="00812C27" w:rsidRDefault="00B44CC9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Default="009A3AFF" w:rsidP="003029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забезпечує досягнення цілей державного регулювання</w:t>
            </w: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12C27" w:rsidRDefault="00812C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2C27" w:rsidRPr="00812C27" w:rsidRDefault="00812C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C27" w:rsidRPr="00812C27" w:rsidTr="00B140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2 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Запропонований спосіб повною мірою сприяє вирішенню зазначеної проблеми, є найбільш доцільним та дасть змогу суб’єктам господарювання здійснювати належну </w:t>
            </w: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>експлуатацію установок.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дасть змогу здійснювати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проектування, будівництво, оснащення та експлуатацію установок за єдиними правилами,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а також </w:t>
            </w:r>
            <w:r w:rsidRPr="00812C2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суб’єкти господарювання будуть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відповідати європейським стандартам, що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може покращити їх імідж та зробить їх більш конкурентоспроможними на внутрішньому та зовнішньому ринках</w:t>
            </w:r>
          </w:p>
          <w:p w:rsidR="00B44CC9" w:rsidRPr="00812C27" w:rsidRDefault="00B44C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4748F" w:rsidRPr="00812C27" w:rsidRDefault="0044748F">
      <w:pPr>
        <w:rPr>
          <w:rFonts w:ascii="Times New Roman" w:hAnsi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2268"/>
      </w:tblGrid>
      <w:tr w:rsidR="00812C27" w:rsidRPr="00812C27" w:rsidTr="00306CC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  <w:lastRenderedPageBreak/>
              <w:t xml:space="preserve">Рейтинг </w:t>
            </w:r>
            <w:proofErr w:type="spellStart"/>
            <w:r w:rsidRPr="00812C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  <w:t>результа-тивності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  <w:t>Вигоди</w:t>
            </w:r>
            <w:r w:rsidRPr="00812C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uk-UA"/>
              </w:rPr>
              <w:br/>
              <w:t>(підсумок)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Витрати</w:t>
            </w:r>
            <w:r w:rsidRPr="00812C27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br/>
              <w:t xml:space="preserve">(підсумок)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812C27" w:rsidRPr="00812C27" w:rsidTr="00306CC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Альтерна-тива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1</w:t>
            </w:r>
          </w:p>
          <w:p w:rsidR="0044748F" w:rsidRPr="00812C27" w:rsidRDefault="009A3AFF">
            <w:pPr>
              <w:pStyle w:val="Style21"/>
              <w:widowControl/>
              <w:spacing w:line="240" w:lineRule="auto"/>
              <w:ind w:right="-57" w:firstLine="0"/>
              <w:jc w:val="both"/>
              <w:rPr>
                <w:rStyle w:val="FontStyle41"/>
                <w:b w:val="0"/>
                <w:bCs w:val="0"/>
                <w:sz w:val="27"/>
                <w:szCs w:val="27"/>
              </w:rPr>
            </w:pPr>
            <w:r w:rsidRPr="00812C27">
              <w:rPr>
                <w:sz w:val="27"/>
                <w:szCs w:val="27"/>
                <w:lang w:bidi="uk-UA"/>
              </w:rPr>
              <w:t>Збереження ситуації, яка є на цей час</w:t>
            </w: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u w:val="single"/>
              </w:rPr>
              <w:t>Для держави: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Відсутні, оскільки проблема залишається невирішеною.</w:t>
            </w:r>
          </w:p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Залишаються нереалізованими положення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пункту 4 частини першої статті 20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Закону, що в свою чергу унеможливлює реалізацію державної політики у сфері управління відходами щодо належної експлуатації установок.</w:t>
            </w:r>
          </w:p>
          <w:p w:rsidR="0044748F" w:rsidRPr="00812C27" w:rsidRDefault="009A3AFF" w:rsidP="003029E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lang w:val="uk-UA"/>
              </w:rPr>
            </w:pPr>
            <w:r w:rsidRPr="00812C27">
              <w:rPr>
                <w:rFonts w:eastAsiaTheme="minorEastAsia"/>
                <w:u w:val="single"/>
                <w:lang w:val="uk-UA"/>
              </w:rPr>
              <w:t>Для суб’єктів господарювання:</w:t>
            </w:r>
            <w:r w:rsidRPr="00812C27">
              <w:rPr>
                <w:rFonts w:eastAsiaTheme="minorEastAsia"/>
                <w:lang w:val="uk-UA"/>
              </w:rPr>
              <w:t xml:space="preserve"> 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Відсутні, оскільки проблема залишається невирішеною.</w:t>
            </w:r>
          </w:p>
          <w:p w:rsidR="00955236" w:rsidRPr="00812C27" w:rsidRDefault="00955236" w:rsidP="003029EF">
            <w:pPr>
              <w:pStyle w:val="af3"/>
              <w:tabs>
                <w:tab w:val="left" w:pos="1142"/>
              </w:tabs>
              <w:ind w:firstLine="0"/>
              <w:rPr>
                <w:u w:val="single"/>
                <w:lang w:val="uk-UA"/>
              </w:rPr>
            </w:pPr>
            <w:r w:rsidRPr="00812C27">
              <w:rPr>
                <w:u w:val="single"/>
                <w:lang w:val="uk-UA"/>
              </w:rPr>
              <w:t>Для громадян</w:t>
            </w:r>
          </w:p>
          <w:p w:rsidR="00955236" w:rsidRPr="00812C27" w:rsidRDefault="00955236" w:rsidP="003029E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  <w:lang w:val="uk-UA"/>
              </w:rPr>
            </w:pPr>
            <w:r w:rsidRPr="00812C27">
              <w:rPr>
                <w:lang w:val="uk-UA"/>
              </w:rPr>
              <w:t xml:space="preserve">Альтернатива є неприйнятною, оскільки не забезпечує </w:t>
            </w:r>
            <w:r w:rsidRPr="00812C27">
              <w:rPr>
                <w:lang w:val="uk-UA" w:eastAsia="uk-UA"/>
              </w:rPr>
              <w:t>захист прав, законних інтересів, життя та здоров’я громадян</w:t>
            </w:r>
          </w:p>
          <w:p w:rsidR="0044748F" w:rsidRPr="00812C27" w:rsidRDefault="0044748F" w:rsidP="001B314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u w:val="single"/>
              </w:rPr>
              <w:t>Для держави:</w:t>
            </w:r>
          </w:p>
          <w:p w:rsidR="0044748F" w:rsidRPr="00812C27" w:rsidRDefault="009A3AF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  <w:lang w:val="uk-UA"/>
              </w:rPr>
            </w:pPr>
            <w:r w:rsidRPr="00812C27">
              <w:rPr>
                <w:lang w:val="uk-UA"/>
              </w:rPr>
              <w:t>Відсутні.</w:t>
            </w:r>
          </w:p>
          <w:p w:rsidR="0044748F" w:rsidRPr="00812C27" w:rsidRDefault="009A3AFF">
            <w:pPr>
              <w:pStyle w:val="af3"/>
              <w:tabs>
                <w:tab w:val="left" w:pos="1142"/>
              </w:tabs>
              <w:ind w:right="-57" w:firstLine="0"/>
              <w:rPr>
                <w:rFonts w:eastAsiaTheme="minorEastAsia"/>
                <w:lang w:val="uk-UA"/>
              </w:rPr>
            </w:pPr>
            <w:r w:rsidRPr="00812C27">
              <w:rPr>
                <w:rFonts w:eastAsiaTheme="minorEastAsia"/>
                <w:u w:val="single"/>
                <w:lang w:val="uk-UA"/>
              </w:rPr>
              <w:t>Для суб’єктів господарювання:</w:t>
            </w:r>
            <w:r w:rsidRPr="00812C27">
              <w:rPr>
                <w:rFonts w:eastAsiaTheme="minorEastAsia"/>
                <w:lang w:val="uk-UA"/>
              </w:rPr>
              <w:t xml:space="preserve"> </w:t>
            </w:r>
          </w:p>
          <w:p w:rsidR="00FF0A5B" w:rsidRPr="00812C27" w:rsidRDefault="00A33EA7" w:rsidP="00FF0A5B">
            <w:pPr>
              <w:pStyle w:val="af3"/>
              <w:tabs>
                <w:tab w:val="left" w:pos="1142"/>
              </w:tabs>
              <w:ind w:firstLine="0"/>
              <w:rPr>
                <w:lang w:val="uk-UA"/>
              </w:rPr>
            </w:pPr>
            <w:r w:rsidRPr="00812C27">
              <w:rPr>
                <w:lang w:val="uk-UA"/>
              </w:rPr>
              <w:t>Відсутні</w:t>
            </w:r>
            <w:r w:rsidR="00955236" w:rsidRPr="00812C27">
              <w:rPr>
                <w:lang w:val="uk-UA"/>
              </w:rPr>
              <w:t>.</w:t>
            </w:r>
          </w:p>
          <w:p w:rsidR="00955236" w:rsidRPr="00812C27" w:rsidRDefault="00955236" w:rsidP="00FF0A5B">
            <w:pPr>
              <w:pStyle w:val="af3"/>
              <w:tabs>
                <w:tab w:val="left" w:pos="1142"/>
              </w:tabs>
              <w:ind w:firstLine="0"/>
              <w:rPr>
                <w:u w:val="single"/>
                <w:lang w:val="uk-UA"/>
              </w:rPr>
            </w:pPr>
            <w:r w:rsidRPr="00812C27">
              <w:rPr>
                <w:u w:val="single"/>
                <w:lang w:val="uk-UA"/>
              </w:rPr>
              <w:t>Для громадян</w:t>
            </w:r>
          </w:p>
          <w:p w:rsidR="00955236" w:rsidRPr="00812C27" w:rsidRDefault="00955236" w:rsidP="0095523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  <w:lang w:val="uk-UA"/>
              </w:rPr>
            </w:pPr>
            <w:r w:rsidRPr="00812C27">
              <w:rPr>
                <w:lang w:val="uk-UA"/>
              </w:rPr>
              <w:t>Відсутні</w:t>
            </w:r>
          </w:p>
          <w:p w:rsidR="0044748F" w:rsidRPr="00812C27" w:rsidRDefault="0044748F" w:rsidP="00955236">
            <w:pPr>
              <w:pStyle w:val="af3"/>
              <w:tabs>
                <w:tab w:val="left" w:pos="1142"/>
              </w:tabs>
              <w:ind w:firstLine="0"/>
              <w:rPr>
                <w:bCs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У разі залишення існуючої на даний момент ситуації без змін проблема продовжуватиме існувати та погіршувати</w:t>
            </w:r>
            <w:r w:rsidR="00FF0A5B" w:rsidRPr="00812C27">
              <w:rPr>
                <w:rFonts w:ascii="Times New Roman" w:hAnsi="Times New Roman"/>
                <w:sz w:val="28"/>
                <w:szCs w:val="28"/>
              </w:rPr>
              <w:t>-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метеся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</w:rPr>
              <w:t>стан навколишнього природного середовища</w:t>
            </w:r>
          </w:p>
        </w:tc>
      </w:tr>
      <w:tr w:rsidR="00306CCF" w:rsidRPr="00812C27" w:rsidTr="00306CC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Альтерна-тива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2</w:t>
            </w:r>
          </w:p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u w:val="single"/>
              </w:rPr>
              <w:t>Для держави:</w:t>
            </w:r>
          </w:p>
          <w:p w:rsidR="0044748F" w:rsidRPr="00812C27" w:rsidRDefault="009A3AFF" w:rsidP="003029E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сприятиме: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створенню прозорих та чітких вимог до проектування, будівництва, оснащення та експлуатації установок;</w:t>
            </w:r>
          </w:p>
          <w:p w:rsidR="0044748F" w:rsidRPr="00812C27" w:rsidRDefault="009A3AFF" w:rsidP="003029EF">
            <w:pPr>
              <w:pStyle w:val="af3"/>
              <w:tabs>
                <w:tab w:val="left" w:pos="1142"/>
              </w:tabs>
              <w:ind w:firstLine="0"/>
              <w:rPr>
                <w:lang w:val="uk-UA"/>
              </w:rPr>
            </w:pPr>
            <w:r w:rsidRPr="00812C27">
              <w:rPr>
                <w:lang w:val="uk-UA" w:eastAsia="uk-UA"/>
              </w:rPr>
              <w:t xml:space="preserve">підвищенню </w:t>
            </w:r>
            <w:r w:rsidRPr="00812C27">
              <w:rPr>
                <w:lang w:val="uk-UA" w:eastAsia="uk-UA"/>
              </w:rPr>
              <w:lastRenderedPageBreak/>
              <w:t xml:space="preserve">ефективності функцій контролю, що створить умови для покращення стану </w:t>
            </w:r>
            <w:r w:rsidRPr="00812C27">
              <w:rPr>
                <w:lang w:val="uk-UA"/>
              </w:rPr>
              <w:t>навколишнього природного середовища при спалюванні відходів.</w:t>
            </w:r>
          </w:p>
          <w:p w:rsidR="0044748F" w:rsidRPr="00812C27" w:rsidRDefault="009A3AF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lang w:val="uk-UA"/>
              </w:rPr>
            </w:pPr>
            <w:r w:rsidRPr="00812C27">
              <w:rPr>
                <w:rFonts w:eastAsiaTheme="minorEastAsia"/>
                <w:u w:val="single"/>
                <w:lang w:val="uk-UA"/>
              </w:rPr>
              <w:t>Для суб’єктів господарювання:</w:t>
            </w:r>
            <w:r w:rsidRPr="00812C27">
              <w:rPr>
                <w:rFonts w:eastAsiaTheme="minorEastAsia"/>
                <w:lang w:val="uk-UA"/>
              </w:rPr>
              <w:t xml:space="preserve"> </w:t>
            </w:r>
          </w:p>
          <w:p w:rsidR="0044748F" w:rsidRPr="00812C27" w:rsidRDefault="009A3A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Суб’єкти господарювання отримають: </w:t>
            </w:r>
          </w:p>
          <w:p w:rsidR="0044748F" w:rsidRPr="00812C27" w:rsidRDefault="009A3AFF">
            <w:pPr>
              <w:shd w:val="clear" w:color="auto" w:fill="FFFFFF"/>
              <w:tabs>
                <w:tab w:val="left" w:pos="267"/>
              </w:tabs>
              <w:spacing w:after="0" w:line="240" w:lineRule="auto"/>
              <w:ind w:left="33" w:firstLine="23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єдину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процедуру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проектування, будівництва, оснащення та експлуатацію установок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44748F" w:rsidRPr="00812C27" w:rsidRDefault="009A3AFF">
            <w:pPr>
              <w:shd w:val="clear" w:color="auto" w:fill="FFFFFF"/>
              <w:tabs>
                <w:tab w:val="left" w:pos="267"/>
              </w:tabs>
              <w:spacing w:after="0" w:line="240" w:lineRule="auto"/>
              <w:ind w:left="33" w:firstLine="234"/>
              <w:rPr>
                <w:rFonts w:ascii="Times New Roman" w:hAnsi="Times New Roman"/>
                <w:bCs/>
                <w:sz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відповідність європейським стандартам, що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може покращити імідж </w:t>
            </w:r>
            <w:r w:rsidRPr="00812C27">
              <w:rPr>
                <w:rFonts w:ascii="Times New Roman" w:hAnsi="Times New Roman"/>
                <w:bCs/>
                <w:sz w:val="28"/>
              </w:rPr>
              <w:t xml:space="preserve">суб’єктів господарювання, які здійснюють проектування, будівництво, оснащення та експлуатацію установок,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та зробить їх більш конкурентоспроможними на внутрішньому та зовнішньому ринках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44748F" w:rsidRPr="00812C27" w:rsidRDefault="009A3AF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  <w:lang w:val="uk-UA"/>
              </w:rPr>
            </w:pPr>
            <w:r w:rsidRPr="00812C27">
              <w:rPr>
                <w:rFonts w:eastAsiaTheme="minorEastAsia"/>
                <w:u w:val="single"/>
                <w:lang w:val="uk-UA"/>
              </w:rPr>
              <w:t>Для громадян:</w:t>
            </w:r>
          </w:p>
          <w:p w:rsidR="0044748F" w:rsidRPr="00812C27" w:rsidRDefault="009A3AFF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lang w:val="uk-UA"/>
              </w:rPr>
            </w:pPr>
            <w:r w:rsidRPr="00812C27">
              <w:rPr>
                <w:rFonts w:eastAsiaTheme="minorEastAsia"/>
                <w:lang w:val="uk-UA"/>
              </w:rPr>
              <w:t>Висока.</w:t>
            </w:r>
          </w:p>
          <w:p w:rsidR="0044748F" w:rsidRPr="00812C27" w:rsidRDefault="009A3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 xml:space="preserve">Належна експлуатація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установок сприяє покращенню здоров’я населення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Для держави:</w:t>
            </w:r>
          </w:p>
          <w:p w:rsidR="0044748F" w:rsidRPr="00812C27" w:rsidRDefault="009A3AFF" w:rsidP="003029EF">
            <w:pPr>
              <w:pStyle w:val="af3"/>
              <w:tabs>
                <w:tab w:val="left" w:pos="1142"/>
              </w:tabs>
              <w:ind w:firstLine="0"/>
              <w:rPr>
                <w:lang w:val="uk-UA"/>
              </w:rPr>
            </w:pPr>
            <w:r w:rsidRPr="00812C27">
              <w:rPr>
                <w:lang w:val="uk-UA"/>
              </w:rPr>
              <w:t>Відсутні.</w:t>
            </w:r>
          </w:p>
          <w:p w:rsidR="0044748F" w:rsidRPr="00812C27" w:rsidRDefault="009A3AFF" w:rsidP="003029E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  <w:u w:val="single"/>
              </w:rPr>
              <w:t>Для суб’єктів господарювання:</w:t>
            </w:r>
          </w:p>
          <w:p w:rsidR="0044748F" w:rsidRPr="00812C27" w:rsidRDefault="00FF0A5B" w:rsidP="003029E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12C27">
              <w:rPr>
                <w:sz w:val="28"/>
                <w:szCs w:val="28"/>
              </w:rPr>
              <w:t>Ор</w:t>
            </w:r>
            <w:r w:rsidR="009A3AFF" w:rsidRPr="00812C27">
              <w:rPr>
                <w:sz w:val="28"/>
                <w:szCs w:val="28"/>
              </w:rPr>
              <w:t>ієнтовні середні витрати на ознайомлення з нормативно-правовою базою становитимуть 48,00 гривень.</w:t>
            </w:r>
          </w:p>
          <w:p w:rsidR="00856F3D" w:rsidRPr="00812C27" w:rsidRDefault="00856F3D" w:rsidP="00302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Сумарні витрати суб’єктів господарювання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будуть експлуатувати нові установки,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 п’ять років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становитимуть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7 883 284,00 гривень</w:t>
            </w:r>
            <w:r w:rsidR="00955236" w:rsidRPr="00812C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F3D" w:rsidRPr="00812C27" w:rsidRDefault="00856F3D" w:rsidP="0030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суб’єктів господарювання, 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експлуатують установки,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за п’ять років </w:t>
            </w:r>
            <w:r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становитимуть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3029EF">
              <w:rPr>
                <w:rFonts w:ascii="Times New Roman" w:hAnsi="Times New Roman"/>
                <w:sz w:val="28"/>
                <w:szCs w:val="28"/>
              </w:rPr>
              <w:t>609 154 348,00, </w:t>
            </w:r>
            <w:r w:rsidR="00EC48EA">
              <w:rPr>
                <w:rFonts w:ascii="Times New Roman" w:hAnsi="Times New Roman"/>
                <w:sz w:val="28"/>
                <w:szCs w:val="28"/>
              </w:rPr>
              <w:br/>
            </w:r>
            <w:r w:rsidRPr="00812C27">
              <w:rPr>
                <w:rFonts w:ascii="Times New Roman" w:hAnsi="Times New Roman"/>
                <w:sz w:val="28"/>
                <w:szCs w:val="28"/>
              </w:rPr>
              <w:t>749 198 348,00 гривень.</w:t>
            </w:r>
          </w:p>
          <w:p w:rsidR="0044748F" w:rsidRPr="00812C27" w:rsidRDefault="009A3AFF" w:rsidP="0030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Передбачається здійснення витрат пов’язаних із виконанням Правил, зокрема щодо облаштування території на яких здійснюється діяльність установок, закупівлю обладнання для автоматичного контролю викидів в атмосферу та водні ресурси, здійснення протипожежних заходів тощо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витрати суб’єктів господарювання, які </w:t>
            </w:r>
            <w:r w:rsidR="001B3146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будуть експлуатувати нові установки або</w:t>
            </w:r>
            <w:r w:rsidR="001B3146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дотримувались загальних вимог природоохоронного законодавства до прийняття </w:t>
            </w:r>
            <w:proofErr w:type="spellStart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будуть нижче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Наприклад, наявність огорожі, воріт, первинних засобів пожежогасіння тощо).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Водночас запровадження процедур екологічного контролю дасть змогу </w:t>
            </w:r>
            <w:r w:rsidR="00FF0A5B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підприємствам відповідати </w:t>
            </w:r>
            <w:r w:rsidR="00FF0A5B"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європейським стандартам, сформувати </w:t>
            </w:r>
            <w:proofErr w:type="spellStart"/>
            <w:r w:rsidR="00FF0A5B"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>екопозитивний</w:t>
            </w:r>
            <w:proofErr w:type="spellEnd"/>
            <w:r w:rsidR="00FF0A5B" w:rsidRPr="00812C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FF0A5B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імідж та підвищити свою конкурентоспроможність</w:t>
            </w:r>
            <w:r w:rsidR="00FF0A5B" w:rsidRPr="00812C27">
              <w:rPr>
                <w:rFonts w:ascii="Times New Roman" w:hAnsi="Times New Roman"/>
                <w:sz w:val="28"/>
                <w:szCs w:val="28"/>
              </w:rPr>
              <w:t xml:space="preserve"> як на внутрішньому, так і на зовнішньому ринках</w:t>
            </w:r>
            <w:r w:rsidR="00B170ED" w:rsidRPr="00812C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5236" w:rsidRPr="00812C27" w:rsidRDefault="00955236" w:rsidP="003029EF">
            <w:pPr>
              <w:pStyle w:val="af3"/>
              <w:tabs>
                <w:tab w:val="left" w:pos="1142"/>
              </w:tabs>
              <w:ind w:firstLine="0"/>
              <w:rPr>
                <w:u w:val="single"/>
                <w:lang w:val="uk-UA"/>
              </w:rPr>
            </w:pPr>
            <w:r w:rsidRPr="00812C27">
              <w:rPr>
                <w:u w:val="single"/>
                <w:lang w:val="uk-UA"/>
              </w:rPr>
              <w:t>Для громадян</w:t>
            </w:r>
          </w:p>
          <w:p w:rsidR="0044748F" w:rsidRPr="00812C27" w:rsidRDefault="00955236" w:rsidP="001B314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  <w:lang w:val="uk-UA"/>
              </w:rPr>
            </w:pPr>
            <w:r w:rsidRPr="00812C27">
              <w:rPr>
                <w:lang w:val="uk-UA"/>
              </w:rPr>
              <w:t>Відсутні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разі прийняття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задекларовані цілі, визначені у розділі ІІ цього Аналізу, будуть досягнуті повною мірою, що повністю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lastRenderedPageBreak/>
              <w:t>забезпечить потребу у вирішенні проблеми</w:t>
            </w:r>
            <w:r w:rsidRPr="00812C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21"/>
        <w:gridCol w:w="3742"/>
      </w:tblGrid>
      <w:tr w:rsidR="00812C27" w:rsidRPr="00812C27" w:rsidTr="00A33EA7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4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812C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акта</w:t>
            </w:r>
            <w:proofErr w:type="spellEnd"/>
          </w:p>
        </w:tc>
      </w:tr>
      <w:tr w:rsidR="00812C27" w:rsidRPr="00812C27" w:rsidTr="00A33EA7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1</w:t>
            </w:r>
          </w:p>
          <w:p w:rsidR="0044748F" w:rsidRPr="00812C27" w:rsidRDefault="009A3AF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bCs w:val="0"/>
                <w:sz w:val="27"/>
                <w:szCs w:val="27"/>
              </w:rPr>
            </w:pPr>
            <w:r w:rsidRPr="00812C27">
              <w:rPr>
                <w:sz w:val="27"/>
                <w:szCs w:val="27"/>
                <w:lang w:bidi="uk-UA"/>
              </w:rPr>
              <w:t>Збереження ситуації, яка є на цей час</w:t>
            </w:r>
          </w:p>
          <w:p w:rsidR="0044748F" w:rsidRPr="00812C27" w:rsidRDefault="0044748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Залишення ситуації без змін призведе до погіршення стану навколишнього природного середовища.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Неналежна експлуатація установок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негативно впливатиме на навколишнє природне середовище, і як наслідок на</w:t>
            </w:r>
            <w:r w:rsidRPr="00812C27">
              <w:rPr>
                <w:rFonts w:ascii="Times New Roman" w:hAnsi="Times New Roman"/>
              </w:rPr>
              <w:t xml:space="preserve">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здоров’я населення, особливо найближчих до них населених пунктів,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та може призвести до ризику аварій.</w:t>
            </w:r>
          </w:p>
          <w:p w:rsidR="0044748F" w:rsidRPr="00812C27" w:rsidRDefault="009A3AFF" w:rsidP="0030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 підставі викладеного можна дійти висновку, що ця альтернатива є неприйнятною.</w:t>
            </w:r>
          </w:p>
        </w:tc>
        <w:tc>
          <w:tcPr>
            <w:tcW w:w="3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 w:rsidP="00302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Зовнішні чинники на дію регуляторного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у разі залишення існуючої на даний момент ситуації без змін відсутні</w:t>
            </w:r>
          </w:p>
          <w:p w:rsidR="0044748F" w:rsidRPr="00812C27" w:rsidRDefault="0044748F" w:rsidP="003029EF">
            <w:pPr>
              <w:tabs>
                <w:tab w:val="left" w:pos="1406"/>
                <w:tab w:val="left" w:pos="3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812C27" w:rsidRPr="00812C27" w:rsidTr="00A33EA7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</w:t>
            </w:r>
          </w:p>
          <w:p w:rsidR="0044748F" w:rsidRPr="00812C27" w:rsidRDefault="009A3AF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проекту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4621" w:type="dxa"/>
          </w:tcPr>
          <w:p w:rsidR="0044748F" w:rsidRPr="00812C27" w:rsidRDefault="009A3AFF" w:rsidP="003029E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У разі прийняття регуляторного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для держави вигода полягатиме в удосконаленні законодавства, завдяки чому запропонований спосіб вирішення зазначеної проблеми є найбільш доцільним та дає змогу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 відповідність процесів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 проектування, будівництва, оснащення та експлуатації установок вимогам українського та європейського законодавства,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зокрема узгоджуються з вимогами Директиви 2008/98/ЄС та </w:t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Директиви Європейського Парламенту і Ради </w:t>
            </w:r>
            <w:r w:rsidR="00955236"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№ 2010/75/ЄС від 24 листопада </w:t>
            </w:r>
            <w:r w:rsidR="00955236"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12C2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2010 року про промислові викиди (інтегрований підхід до запобігання забрудненню та його контролю).</w:t>
            </w:r>
          </w:p>
          <w:p w:rsidR="0044748F" w:rsidRPr="00812C27" w:rsidRDefault="009A3AFF" w:rsidP="0071387E">
            <w:pPr>
              <w:widowControl w:val="0"/>
              <w:tabs>
                <w:tab w:val="left" w:pos="1406"/>
                <w:tab w:val="left" w:pos="3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Тому обраним альтернативним способом вирішення проблеми є розроблення регуляторного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3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8F" w:rsidRPr="00812C27" w:rsidRDefault="009A3AFF" w:rsidP="003029EF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Упродовж деякого часу</w:t>
            </w:r>
            <w:r w:rsidR="001520D7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,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1520D7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після прийняття цього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регуляторного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="001520D7"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,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може впливати низька обізнаність суб’єктів, на яких поширюється дія цього </w:t>
            </w:r>
            <w:proofErr w:type="spellStart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,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щодо запроваджених відмінностей регулювання, що пропонується існуючим регулюванням</w:t>
            </w:r>
          </w:p>
          <w:p w:rsidR="0044748F" w:rsidRPr="00812C27" w:rsidRDefault="0044748F" w:rsidP="003029EF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955236" w:rsidRPr="00812C27" w:rsidRDefault="009552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>V. Механізми та заходи, які забезпечать розв’язання визначеної проблеми</w:t>
      </w: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Механізмом, який забезпечить розв’язання визначеної в розділі І цього Аналізу проблеми, є прийняття запропонованого </w:t>
      </w:r>
      <w:proofErr w:type="spellStart"/>
      <w:r w:rsidRPr="00812C2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27">
        <w:rPr>
          <w:rFonts w:ascii="Times New Roman" w:hAnsi="Times New Roman"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, який забезпечить відповідність процесів проектування, будівництва, оснащення та експлуатації установок вимогам українського та європейського законодавства, 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зокрема узгоджуються з вимогами Директиви 2008/98/ЄС та Директиви Європейського Парламенту і Ради 2010/75/ЄС від 24 листопада 2010 року про промислові викиди (інтегрований підхід до запобігання забрудненню та його контролю).</w:t>
      </w:r>
    </w:p>
    <w:p w:rsidR="0044748F" w:rsidRPr="00812C27" w:rsidRDefault="009A3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Заходи, які необхідно здійснити суб’єктам господарської діяльності:</w:t>
      </w:r>
    </w:p>
    <w:p w:rsidR="0044748F" w:rsidRPr="00812C27" w:rsidRDefault="009A3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1) ознайомитися з вимогами регулювання (пошук та опрацювання регуляторного акту в мережі Інтернет);</w:t>
      </w: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2) виконання вимог 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Pr="00812C27">
        <w:rPr>
          <w:rFonts w:ascii="Times New Roman" w:hAnsi="Times New Roman"/>
          <w:sz w:val="28"/>
          <w:szCs w:val="28"/>
        </w:rPr>
        <w:t>.</w:t>
      </w:r>
    </w:p>
    <w:p w:rsidR="0044748F" w:rsidRPr="00812C27" w:rsidRDefault="009A3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Реалізація положень регуляторного </w:t>
      </w:r>
      <w:proofErr w:type="spellStart"/>
      <w:r w:rsidRPr="00812C27">
        <w:rPr>
          <w:rFonts w:ascii="Times New Roman" w:hAnsi="Times New Roman"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не потребує додаткових матеріальних та фінансових витрат із державного та місцевих бюджетів.</w:t>
      </w:r>
    </w:p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 xml:space="preserve">VI. Оцінка виконання вимог регуляторного </w:t>
      </w:r>
      <w:proofErr w:type="spellStart"/>
      <w:r w:rsidRPr="00812C27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Бюджетні витрати на виконання вимог регуляторного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органів виконавчої влади та органів місцевого самоврядування не збільшуються, проте реалізація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потребуватиме фінансових витрат від суб’єктів господарювання для ознайомлення з новим регулюванням та виконанням вимог Правил,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зокрема, улаштування огорожі, воріт, придбання </w:t>
      </w:r>
      <w:proofErr w:type="spellStart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вагів</w:t>
      </w:r>
      <w:proofErr w:type="spellEnd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, камер відеоспостереження, автоматичних засобів вимірювання, стенд для розміщення первинних засобів пожежогасіння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Водночас </w:t>
      </w: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витрати суб’єктів господарювання, які </w:t>
      </w:r>
      <w:r w:rsidR="001B3146" w:rsidRPr="00812C27">
        <w:rPr>
          <w:rFonts w:ascii="Times New Roman" w:eastAsia="Times New Roman" w:hAnsi="Times New Roman"/>
          <w:sz w:val="28"/>
          <w:szCs w:val="28"/>
          <w:lang w:eastAsia="ru-RU"/>
        </w:rPr>
        <w:t>будуть експлуатувати нові установки або</w:t>
      </w:r>
      <w:r w:rsidR="001B3146"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дотримувались загальних вимог природоохоронного законодавства до прийняття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812C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будуть нижче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. Наприклад, наявність огорожі, воріт, первинних засобів пожежогасіння тощо</w:t>
      </w: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Поточні бюджетні витрати суб’єктів господарювання великого і середнього підприємництва, які виникають внаслідок дії регуляторного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визначені у додатку до цього Аналізу до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44748F" w:rsidRPr="00812C27" w:rsidRDefault="009A3AFF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C27">
        <w:rPr>
          <w:rFonts w:ascii="Times New Roman" w:hAnsi="Times New Roman" w:cs="Times New Roman"/>
          <w:sz w:val="28"/>
          <w:szCs w:val="28"/>
        </w:rPr>
        <w:t xml:space="preserve">Оскільки питома вага суб’єктів малого підприємництва складає менше </w:t>
      </w:r>
      <w:r w:rsidRPr="00812C27">
        <w:rPr>
          <w:rFonts w:ascii="Times New Roman" w:hAnsi="Times New Roman" w:cs="Times New Roman"/>
          <w:sz w:val="28"/>
          <w:szCs w:val="28"/>
        </w:rPr>
        <w:br/>
        <w:t>10</w:t>
      </w:r>
      <w:r w:rsidRPr="00812C27">
        <w:rPr>
          <w:rFonts w:ascii="Times New Roman" w:eastAsia="Times New Roman" w:hAnsi="Times New Roman" w:cs="Times New Roman"/>
          <w:sz w:val="28"/>
          <w:szCs w:val="28"/>
        </w:rPr>
        <w:t xml:space="preserve"> відсотків, розрахунок витрат на запровадження державного регулювання для суб’єктів малого підприємництва (Тест малого підприємництва) не здійснювався.</w:t>
      </w:r>
    </w:p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812C27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b/>
          <w:sz w:val="28"/>
          <w:szCs w:val="28"/>
        </w:rPr>
        <w:t xml:space="preserve"> </w:t>
      </w:r>
    </w:p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shd w:val="clear" w:color="auto" w:fill="FFFFFF"/>
        <w:snapToGrid w:val="0"/>
        <w:spacing w:after="0" w:line="240" w:lineRule="auto"/>
        <w:ind w:right="-46"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Враховуючи особливість правового регулювання управління відходами – строк </w:t>
      </w:r>
      <w:proofErr w:type="spellStart"/>
      <w:r w:rsidRPr="00812C27">
        <w:rPr>
          <w:rFonts w:ascii="Times New Roman" w:hAnsi="Times New Roman"/>
          <w:sz w:val="28"/>
          <w:szCs w:val="28"/>
        </w:rPr>
        <w:t>діі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̈ регуляторного </w:t>
      </w:r>
      <w:proofErr w:type="spellStart"/>
      <w:r w:rsidRPr="00812C27">
        <w:rPr>
          <w:rFonts w:ascii="Times New Roman" w:hAnsi="Times New Roman"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не встановлюється.</w:t>
      </w:r>
    </w:p>
    <w:p w:rsidR="0044748F" w:rsidRPr="00812C27" w:rsidRDefault="009A3A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12C27">
        <w:rPr>
          <w:rFonts w:ascii="Times New Roman" w:hAnsi="Times New Roman"/>
          <w:bCs/>
          <w:sz w:val="28"/>
          <w:szCs w:val="28"/>
        </w:rPr>
        <w:t xml:space="preserve">Термін набрання чинності регуляторним актом – з </w:t>
      </w:r>
      <w:r w:rsidRPr="00812C27">
        <w:rPr>
          <w:rFonts w:ascii="Times New Roman" w:hAnsi="Times New Roman"/>
          <w:sz w:val="28"/>
          <w:szCs w:val="28"/>
        </w:rPr>
        <w:t xml:space="preserve">01 </w:t>
      </w:r>
      <w:r w:rsidR="00D651B2" w:rsidRPr="00812C27">
        <w:rPr>
          <w:rFonts w:ascii="Times New Roman" w:hAnsi="Times New Roman"/>
          <w:sz w:val="28"/>
          <w:szCs w:val="28"/>
        </w:rPr>
        <w:t>квітня</w:t>
      </w:r>
      <w:r w:rsidRPr="00812C27">
        <w:rPr>
          <w:rFonts w:ascii="Times New Roman" w:hAnsi="Times New Roman"/>
          <w:sz w:val="28"/>
          <w:szCs w:val="28"/>
        </w:rPr>
        <w:t xml:space="preserve"> 2025 року </w:t>
      </w:r>
      <w:r w:rsidRPr="00812C27">
        <w:rPr>
          <w:rFonts w:ascii="Times New Roman" w:eastAsia="Times New Roman" w:hAnsi="Times New Roman"/>
          <w:iCs/>
          <w:sz w:val="28"/>
          <w:szCs w:val="28"/>
          <w:lang w:eastAsia="ru-RU"/>
        </w:rPr>
        <w:t>та застосовується: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1) до </w:t>
      </w:r>
      <w:bookmarkStart w:id="6" w:name="_Hlk121139476"/>
      <w:r w:rsidRPr="00812C27">
        <w:rPr>
          <w:rFonts w:ascii="Times New Roman" w:hAnsi="Times New Roman"/>
          <w:sz w:val="28"/>
          <w:szCs w:val="28"/>
        </w:rPr>
        <w:t xml:space="preserve">нових установок </w:t>
      </w:r>
      <w:bookmarkEnd w:id="6"/>
      <w:r w:rsidRPr="00812C27">
        <w:rPr>
          <w:rFonts w:ascii="Times New Roman" w:hAnsi="Times New Roman"/>
          <w:sz w:val="28"/>
          <w:szCs w:val="28"/>
        </w:rPr>
        <w:t>– з дня набрання ним чинності;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2) до установок, </w:t>
      </w:r>
      <w:bookmarkStart w:id="7" w:name="_Hlk121165040"/>
      <w:r w:rsidRPr="00812C27">
        <w:rPr>
          <w:rFonts w:ascii="Times New Roman" w:hAnsi="Times New Roman"/>
          <w:sz w:val="28"/>
          <w:szCs w:val="28"/>
        </w:rPr>
        <w:t xml:space="preserve">введених в експлуатацію або щодо яких розпочато будівництво, або замовлено і </w:t>
      </w:r>
      <w:proofErr w:type="spellStart"/>
      <w:r w:rsidRPr="00812C27">
        <w:rPr>
          <w:rFonts w:ascii="Times New Roman" w:hAnsi="Times New Roman"/>
          <w:sz w:val="28"/>
          <w:szCs w:val="28"/>
        </w:rPr>
        <w:t>оплачено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обладнання на основі проектної документації</w:t>
      </w:r>
      <w:r w:rsidRPr="00812C27">
        <w:rPr>
          <w:rFonts w:ascii="Times New Roman" w:hAnsi="Times New Roman"/>
        </w:rPr>
        <w:t xml:space="preserve"> </w:t>
      </w:r>
      <w:r w:rsidRPr="00812C27">
        <w:rPr>
          <w:rFonts w:ascii="Times New Roman" w:hAnsi="Times New Roman"/>
          <w:sz w:val="28"/>
          <w:szCs w:val="28"/>
        </w:rPr>
        <w:t>до набрання чинності цим наказом</w:t>
      </w:r>
      <w:bookmarkEnd w:id="7"/>
      <w:r w:rsidRPr="00812C27">
        <w:rPr>
          <w:rFonts w:ascii="Times New Roman" w:hAnsi="Times New Roman"/>
          <w:sz w:val="28"/>
          <w:szCs w:val="28"/>
        </w:rPr>
        <w:t>: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через 1 рік після набрання ним чинності в частині положень щодо встановлення камер відеоспостереження</w:t>
      </w:r>
      <w:bookmarkStart w:id="8" w:name="_Hlk132886577"/>
      <w:r w:rsidRPr="00812C27">
        <w:rPr>
          <w:rFonts w:ascii="Times New Roman" w:hAnsi="Times New Roman"/>
          <w:sz w:val="28"/>
          <w:szCs w:val="28"/>
        </w:rPr>
        <w:t>;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27">
        <w:rPr>
          <w:rFonts w:ascii="Times New Roman" w:hAnsi="Times New Roman"/>
          <w:sz w:val="28"/>
          <w:szCs w:val="28"/>
        </w:rPr>
        <w:t xml:space="preserve">через 4 роки після набрання ним чинності в частині положень щодо дотримання нормативів </w:t>
      </w:r>
      <w:r w:rsidRPr="00812C27">
        <w:rPr>
          <w:rFonts w:ascii="Times New Roman" w:hAnsi="Times New Roman"/>
          <w:bCs/>
          <w:sz w:val="28"/>
        </w:rPr>
        <w:t xml:space="preserve">гранично допустимих викидів (скидів) забруднюючих речовин в атмосферне повітря та у води </w:t>
      </w:r>
      <w:r w:rsidRPr="00812C27">
        <w:rPr>
          <w:rFonts w:ascii="Times New Roman" w:hAnsi="Times New Roman"/>
          <w:sz w:val="28"/>
        </w:rPr>
        <w:t xml:space="preserve">та встановлення обладнання автоматизованих засобів вимірювання 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за умови подання операторами установок через інформаційну систему управління відходами інвестиційних програм проведення технічного переоснащення установок протягом 1 року з дня набрання чинності цим наказом.</w:t>
      </w:r>
      <w:bookmarkEnd w:id="8"/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748F" w:rsidRPr="00812C27" w:rsidRDefault="009A3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У разі не подання в зазначений строк до Міндовкілля інвестиційних програм проведення технічного переоснащення установок, такі</w:t>
      </w:r>
      <w:r w:rsidRPr="00812C27">
        <w:rPr>
          <w:rFonts w:ascii="Times New Roman" w:hAnsi="Times New Roman"/>
          <w:sz w:val="28"/>
          <w:szCs w:val="28"/>
        </w:rPr>
        <w:t xml:space="preserve"> 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установки підлягають закриттю</w:t>
      </w:r>
      <w:r w:rsidRPr="00812C27">
        <w:rPr>
          <w:rFonts w:ascii="Times New Roman" w:hAnsi="Times New Roman"/>
          <w:sz w:val="28"/>
          <w:szCs w:val="28"/>
        </w:rPr>
        <w:t xml:space="preserve"> через 1 рік після набрання чинності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 xml:space="preserve"> цим наказом.</w:t>
      </w:r>
    </w:p>
    <w:p w:rsidR="0044748F" w:rsidRPr="00812C27" w:rsidRDefault="0044748F">
      <w:pPr>
        <w:shd w:val="clear" w:color="auto" w:fill="FFFFFF"/>
        <w:snapToGrid w:val="0"/>
        <w:spacing w:after="0" w:line="240" w:lineRule="auto"/>
        <w:ind w:right="-46" w:firstLine="567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812C27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Прогнозними значеннями показників результативності дії регуляторного </w:t>
      </w:r>
      <w:proofErr w:type="spellStart"/>
      <w:r w:rsidRPr="00812C27">
        <w:rPr>
          <w:rFonts w:ascii="Times New Roman" w:hAnsi="Times New Roman"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є: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рівень поінформованості суб’єктів господарювання – 100 відсотків (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розміщений на </w:t>
      </w:r>
      <w:proofErr w:type="spellStart"/>
      <w:r w:rsidRPr="00812C27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812C27">
        <w:rPr>
          <w:rFonts w:ascii="Times New Roman" w:hAnsi="Times New Roman"/>
          <w:sz w:val="28"/>
          <w:szCs w:val="28"/>
        </w:rPr>
        <w:t xml:space="preserve"> Міндовкілля (</w:t>
      </w:r>
      <w:r w:rsidRPr="00812C27">
        <w:rPr>
          <w:rFonts w:ascii="Times New Roman" w:hAnsi="Times New Roman"/>
          <w:bCs/>
          <w:sz w:val="28"/>
          <w:szCs w:val="28"/>
        </w:rPr>
        <w:t>https://mepr.gov.ua</w:t>
      </w:r>
      <w:r w:rsidRPr="00812C27">
        <w:rPr>
          <w:rFonts w:ascii="Times New Roman" w:hAnsi="Times New Roman"/>
          <w:sz w:val="28"/>
          <w:szCs w:val="28"/>
        </w:rPr>
        <w:t>);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0 відсотків (не передбачається додаткових надходжень  до державного та місцевих бюджетів і державних цільових фондів);</w:t>
      </w:r>
    </w:p>
    <w:p w:rsidR="0044748F" w:rsidRPr="00812C27" w:rsidRDefault="009A3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 xml:space="preserve">кількість суб’єктів господарювання, що підпадають під дію регулювання – </w:t>
      </w:r>
      <w:r w:rsidRPr="00812C27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Pr="00812C27">
        <w:rPr>
          <w:rFonts w:ascii="Times New Roman" w:hAnsi="Times New Roman"/>
          <w:sz w:val="28"/>
          <w:szCs w:val="28"/>
        </w:rPr>
        <w:t>;</w:t>
      </w:r>
    </w:p>
    <w:p w:rsidR="00955236" w:rsidRPr="00812C27" w:rsidRDefault="009A3AFF" w:rsidP="009552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розмір коштів, що витрачатимуться суб’єктами господарювання на виконання вимог </w:t>
      </w:r>
      <w:proofErr w:type="spellStart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812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</w:t>
      </w:r>
      <w:r w:rsidRPr="00812C27">
        <w:rPr>
          <w:rFonts w:ascii="Times New Roman" w:hAnsi="Times New Roman"/>
          <w:sz w:val="28"/>
          <w:szCs w:val="28"/>
        </w:rPr>
        <w:t xml:space="preserve">у перший стартовий рік витрати одного суб’єкта господарювання орієнтовно </w:t>
      </w:r>
      <w:r w:rsidRPr="00812C27">
        <w:rPr>
          <w:rFonts w:ascii="Times New Roman" w:hAnsi="Times New Roman"/>
          <w:sz w:val="28"/>
          <w:szCs w:val="28"/>
          <w:lang w:eastAsia="uk-UA"/>
        </w:rPr>
        <w:t xml:space="preserve">становитимуть </w:t>
      </w:r>
      <w:r w:rsidR="003029EF">
        <w:rPr>
          <w:rFonts w:ascii="Times New Roman" w:hAnsi="Times New Roman"/>
          <w:sz w:val="28"/>
          <w:szCs w:val="28"/>
        </w:rPr>
        <w:t>7 883 284,</w:t>
      </w:r>
      <w:r w:rsidR="00643927">
        <w:rPr>
          <w:rFonts w:ascii="Times New Roman" w:hAnsi="Times New Roman"/>
          <w:sz w:val="28"/>
          <w:szCs w:val="28"/>
        </w:rPr>
        <w:t xml:space="preserve"> 147 92</w:t>
      </w:r>
      <w:r w:rsidR="00250BA8" w:rsidRPr="00812C27">
        <w:rPr>
          <w:rFonts w:ascii="Times New Roman" w:hAnsi="Times New Roman"/>
          <w:sz w:val="28"/>
          <w:szCs w:val="28"/>
        </w:rPr>
        <w:t>7 284 гривень</w:t>
      </w:r>
      <w:r w:rsidR="00955236" w:rsidRPr="00812C27">
        <w:rPr>
          <w:rFonts w:ascii="Times New Roman" w:hAnsi="Times New Roman"/>
          <w:sz w:val="28"/>
          <w:szCs w:val="28"/>
        </w:rPr>
        <w:t>.</w:t>
      </w:r>
    </w:p>
    <w:p w:rsidR="0044748F" w:rsidRPr="00812C27" w:rsidRDefault="0044748F" w:rsidP="005B3CD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748F" w:rsidRPr="00812C27" w:rsidRDefault="009A3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812C27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812C27">
        <w:rPr>
          <w:rFonts w:ascii="Times New Roman" w:hAnsi="Times New Roman"/>
          <w:b/>
          <w:sz w:val="28"/>
          <w:szCs w:val="28"/>
        </w:rPr>
        <w:t xml:space="preserve"> </w:t>
      </w:r>
    </w:p>
    <w:p w:rsidR="0044748F" w:rsidRPr="00812C27" w:rsidRDefault="004474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48F" w:rsidRPr="00812C27" w:rsidRDefault="009A3AFF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Відстеження результативності регуляторного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 здійснюватиметься Міндовкілля.</w:t>
      </w:r>
    </w:p>
    <w:p w:rsidR="0044748F" w:rsidRPr="00812C27" w:rsidRDefault="009A3AFF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Базове відстеження результативності регуляторного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 буде здійснюватися після дня набрання чинності цим регуляторним актом, шляхом використання статистичних даних.</w:t>
      </w:r>
    </w:p>
    <w:p w:rsidR="0044748F" w:rsidRPr="00812C27" w:rsidRDefault="009A3AFF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>Метод проведення відстеження результативності – статистичний.</w:t>
      </w:r>
    </w:p>
    <w:p w:rsidR="0044748F" w:rsidRPr="00812C27" w:rsidRDefault="009A3AFF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>Вид даних, за допомогою яких здійснюватиметься відстеження результативності – статистичні.</w:t>
      </w:r>
    </w:p>
    <w:p w:rsidR="0044748F" w:rsidRPr="00812C27" w:rsidRDefault="009A3AFF" w:rsidP="006F7DAE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>Для відстеження результативності будуть використовуватися дані, отримані через інформаційну систему управління відходами.</w:t>
      </w:r>
    </w:p>
    <w:p w:rsidR="0044748F" w:rsidRPr="00812C27" w:rsidRDefault="009A3AFF" w:rsidP="006F7DAE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>Повторне відстеження планується здійснити через рік з дня набрання чинності регуляторного акту,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цього акту, такі питання будуть врегульовані шляхом внесення відповідних змін.</w:t>
      </w:r>
    </w:p>
    <w:p w:rsidR="0044748F" w:rsidRPr="00812C27" w:rsidRDefault="009A3AFF" w:rsidP="006F7DAE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Періодичне відстеження буде здійснюватися раз на три роки, починаючи з дня виконання заходів з повторного відстеження. Відстеження результативності зазначеного вище регуляторного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 проводитиметься шляхом розгляду пропозицій та зауважень від суб’єктів господарювання та заінтересованої громадськості, які надійшли до Міндовкілля. Відстеження результативності регуляторного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 здійснюватиметься шляхом проведення базового, повторного та періодичного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відстежень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 показників результативності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, визначених під час проведення аналізу впливу регуляторного </w:t>
      </w:r>
      <w:proofErr w:type="spellStart"/>
      <w:r w:rsidRPr="00812C27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812C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</w:p>
    <w:p w:rsidR="0044748F" w:rsidRPr="00812C27" w:rsidRDefault="009A3AFF" w:rsidP="006F7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12C27">
        <w:rPr>
          <w:rFonts w:ascii="Times New Roman" w:hAnsi="Times New Roman"/>
          <w:sz w:val="28"/>
          <w:szCs w:val="28"/>
          <w:lang w:eastAsia="uk-UA"/>
        </w:rPr>
        <w:t>Відстеження буде проводитись співробітниками Міндовкілля, для чого будуть вивчатися плани управління  відходами підприємств, установ та організацій.</w:t>
      </w:r>
    </w:p>
    <w:p w:rsidR="0044748F" w:rsidRPr="00812C27" w:rsidRDefault="0044748F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44748F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>Міністр захисту довкілля та</w:t>
      </w:r>
    </w:p>
    <w:p w:rsidR="0044748F" w:rsidRPr="00812C27" w:rsidRDefault="009A3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C27">
        <w:rPr>
          <w:rFonts w:ascii="Times New Roman" w:hAnsi="Times New Roman"/>
          <w:b/>
          <w:sz w:val="28"/>
          <w:szCs w:val="28"/>
        </w:rPr>
        <w:t>природних ресурсів України</w:t>
      </w:r>
      <w:r w:rsidRPr="00812C27">
        <w:rPr>
          <w:rFonts w:ascii="Times New Roman" w:hAnsi="Times New Roman"/>
          <w:b/>
          <w:sz w:val="28"/>
          <w:szCs w:val="28"/>
        </w:rPr>
        <w:tab/>
      </w:r>
      <w:r w:rsidRPr="00812C27">
        <w:rPr>
          <w:rFonts w:ascii="Times New Roman" w:hAnsi="Times New Roman"/>
          <w:b/>
          <w:sz w:val="28"/>
          <w:szCs w:val="28"/>
        </w:rPr>
        <w:tab/>
      </w:r>
      <w:r w:rsidRPr="00812C27">
        <w:rPr>
          <w:rFonts w:ascii="Times New Roman" w:hAnsi="Times New Roman"/>
          <w:b/>
          <w:sz w:val="28"/>
          <w:szCs w:val="28"/>
        </w:rPr>
        <w:tab/>
      </w:r>
      <w:r w:rsidRPr="00812C27">
        <w:rPr>
          <w:rFonts w:ascii="Times New Roman" w:hAnsi="Times New Roman"/>
          <w:b/>
          <w:sz w:val="28"/>
          <w:szCs w:val="28"/>
        </w:rPr>
        <w:tab/>
      </w:r>
      <w:r w:rsidRPr="00812C27">
        <w:rPr>
          <w:rFonts w:ascii="Times New Roman" w:hAnsi="Times New Roman"/>
          <w:b/>
          <w:sz w:val="28"/>
          <w:szCs w:val="28"/>
        </w:rPr>
        <w:tab/>
        <w:t xml:space="preserve">   Світлана ГРИНЧУК</w:t>
      </w:r>
    </w:p>
    <w:p w:rsidR="0044748F" w:rsidRPr="00812C27" w:rsidRDefault="0044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48F" w:rsidRPr="00812C27" w:rsidRDefault="009A3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«___» _________</w:t>
      </w:r>
      <w:r w:rsidR="00C71786" w:rsidRPr="00812C27">
        <w:rPr>
          <w:rFonts w:ascii="Times New Roman" w:hAnsi="Times New Roman"/>
          <w:sz w:val="28"/>
          <w:szCs w:val="28"/>
        </w:rPr>
        <w:t>____ 2025</w:t>
      </w:r>
      <w:r w:rsidRPr="00812C27">
        <w:rPr>
          <w:rFonts w:ascii="Times New Roman" w:hAnsi="Times New Roman"/>
          <w:sz w:val="28"/>
          <w:szCs w:val="28"/>
        </w:rPr>
        <w:t xml:space="preserve"> року</w:t>
      </w:r>
    </w:p>
    <w:p w:rsidR="0044748F" w:rsidRPr="00812C27" w:rsidRDefault="0044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4748F" w:rsidRPr="00812C27" w:rsidSect="00D056EB">
          <w:headerReference w:type="default" r:id="rId10"/>
          <w:pgSz w:w="12240" w:h="15840"/>
          <w:pgMar w:top="1134" w:right="850" w:bottom="851" w:left="1417" w:header="720" w:footer="720" w:gutter="0"/>
          <w:cols w:space="720"/>
          <w:titlePg/>
          <w:docGrid w:linePitch="360"/>
        </w:sectPr>
      </w:pPr>
    </w:p>
    <w:p w:rsidR="0044748F" w:rsidRPr="00812C27" w:rsidRDefault="009A3AF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44748F" w:rsidRPr="00812C27" w:rsidRDefault="009A3A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</w:rPr>
        <w:t>до аналізу регуляторного впливу</w:t>
      </w:r>
    </w:p>
    <w:p w:rsidR="0044748F" w:rsidRPr="00812C27" w:rsidRDefault="0044748F">
      <w:pPr>
        <w:pStyle w:val="rvps21"/>
        <w:shd w:val="clear" w:color="auto" w:fill="FFFFFF"/>
        <w:tabs>
          <w:tab w:val="left" w:pos="1134"/>
          <w:tab w:val="left" w:pos="1276"/>
        </w:tabs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</w:p>
    <w:p w:rsidR="0044748F" w:rsidRPr="00812C27" w:rsidRDefault="009A3AFF">
      <w:pPr>
        <w:pStyle w:val="rvps21"/>
        <w:shd w:val="clear" w:color="auto" w:fill="FFFFFF"/>
        <w:tabs>
          <w:tab w:val="left" w:pos="1134"/>
          <w:tab w:val="left" w:pos="1276"/>
        </w:tabs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  <w:r w:rsidRPr="00812C27">
        <w:rPr>
          <w:b/>
          <w:bCs/>
          <w:sz w:val="28"/>
          <w:szCs w:val="28"/>
          <w:lang w:val="uk-UA"/>
        </w:rPr>
        <w:t>ВИТРАТИ</w:t>
      </w:r>
    </w:p>
    <w:p w:rsidR="0044748F" w:rsidRPr="00812C27" w:rsidRDefault="009A3AFF">
      <w:pPr>
        <w:pStyle w:val="rvps21"/>
        <w:shd w:val="clear" w:color="auto" w:fill="FFFFFF"/>
        <w:tabs>
          <w:tab w:val="left" w:pos="1134"/>
          <w:tab w:val="left" w:pos="1276"/>
        </w:tabs>
        <w:spacing w:after="0"/>
        <w:ind w:firstLine="0"/>
        <w:jc w:val="center"/>
        <w:rPr>
          <w:b/>
          <w:bCs/>
          <w:i/>
          <w:sz w:val="28"/>
          <w:szCs w:val="28"/>
          <w:lang w:val="uk-UA"/>
        </w:rPr>
      </w:pPr>
      <w:r w:rsidRPr="00812C27">
        <w:rPr>
          <w:b/>
          <w:bCs/>
          <w:sz w:val="28"/>
          <w:szCs w:val="28"/>
          <w:lang w:val="uk-UA"/>
        </w:rPr>
        <w:t xml:space="preserve">на одного суб’єкта господарювання великого </w:t>
      </w:r>
      <w:r w:rsidRPr="00812C27">
        <w:rPr>
          <w:rStyle w:val="FontStyle41"/>
          <w:sz w:val="28"/>
          <w:szCs w:val="28"/>
          <w:lang w:val="uk-UA"/>
        </w:rPr>
        <w:t>і середнього підприємництва</w:t>
      </w:r>
      <w:r w:rsidRPr="00812C27">
        <w:rPr>
          <w:b/>
          <w:bCs/>
          <w:sz w:val="28"/>
          <w:szCs w:val="28"/>
          <w:lang w:val="uk-UA"/>
        </w:rPr>
        <w:t xml:space="preserve">, які виникають внаслідок дії регуляторного </w:t>
      </w:r>
      <w:proofErr w:type="spellStart"/>
      <w:r w:rsidRPr="00812C27">
        <w:rPr>
          <w:b/>
          <w:bCs/>
          <w:sz w:val="28"/>
          <w:szCs w:val="28"/>
          <w:lang w:val="uk-UA"/>
        </w:rPr>
        <w:t>акта</w:t>
      </w:r>
      <w:proofErr w:type="spellEnd"/>
      <w:r w:rsidRPr="00812C27">
        <w:rPr>
          <w:b/>
          <w:bCs/>
          <w:sz w:val="28"/>
          <w:szCs w:val="28"/>
          <w:lang w:val="uk-UA"/>
        </w:rPr>
        <w:t xml:space="preserve"> </w:t>
      </w:r>
    </w:p>
    <w:p w:rsidR="0044748F" w:rsidRPr="00812C27" w:rsidRDefault="0044748F">
      <w:pPr>
        <w:pStyle w:val="rvps21"/>
        <w:shd w:val="clear" w:color="auto" w:fill="FFFFFF"/>
        <w:tabs>
          <w:tab w:val="left" w:pos="1134"/>
          <w:tab w:val="left" w:pos="1276"/>
        </w:tabs>
        <w:spacing w:after="0"/>
        <w:ind w:firstLine="0"/>
        <w:jc w:val="center"/>
        <w:rPr>
          <w:b/>
          <w:sz w:val="28"/>
          <w:szCs w:val="28"/>
          <w:lang w:val="uk-UA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5754"/>
        <w:gridCol w:w="2039"/>
        <w:gridCol w:w="2036"/>
      </w:tblGrid>
      <w:tr w:rsidR="00812C27" w:rsidRPr="00812C27">
        <w:trPr>
          <w:jc w:val="center"/>
        </w:trPr>
        <w:tc>
          <w:tcPr>
            <w:tcW w:w="410" w:type="pct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bookmarkStart w:id="9" w:name="_Hlk75900031"/>
            <w:r w:rsidRPr="00812C27">
              <w:rPr>
                <w:rFonts w:ascii="Times New Roman" w:hAnsi="Times New Roman"/>
                <w:sz w:val="28"/>
                <w:szCs w:val="28"/>
              </w:rPr>
              <w:t>Поряд-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ковий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2687" w:type="pct"/>
            <w:vAlign w:val="center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  <w:tc>
          <w:tcPr>
            <w:tcW w:w="952" w:type="pct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За перший рік</w:t>
            </w:r>
          </w:p>
        </w:tc>
        <w:tc>
          <w:tcPr>
            <w:tcW w:w="951" w:type="pct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За п’ять років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44748F" w:rsidRPr="00812C27" w:rsidRDefault="009A3AF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тощо)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, гривень</w:t>
            </w:r>
          </w:p>
          <w:p w:rsidR="0044748F" w:rsidRPr="00812C27" w:rsidRDefault="0044748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pct"/>
          </w:tcPr>
          <w:p w:rsidR="0001297D" w:rsidRPr="00812C27" w:rsidRDefault="003029EF" w:rsidP="0001297D">
            <w:pPr>
              <w:spacing w:before="120"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24 200</w:t>
            </w:r>
          </w:p>
          <w:p w:rsidR="0001297D" w:rsidRPr="00812C27" w:rsidRDefault="003029EF" w:rsidP="0001297D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24 200</w:t>
            </w:r>
          </w:p>
          <w:p w:rsidR="0001297D" w:rsidRPr="00812C27" w:rsidRDefault="0001297D" w:rsidP="0001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  <w:p w:rsidR="0044748F" w:rsidRPr="00812C27" w:rsidRDefault="0044748F" w:rsidP="00BD58D0">
            <w:pPr>
              <w:spacing w:before="120"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pct"/>
          </w:tcPr>
          <w:p w:rsidR="00945D5E" w:rsidRPr="00812C27" w:rsidRDefault="0009547E" w:rsidP="00945D5E">
            <w:pPr>
              <w:spacing w:before="120"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24</w:t>
            </w:r>
            <w:r w:rsidR="003029EF">
              <w:rPr>
                <w:rFonts w:ascii="Times New Roman" w:hAnsi="Times New Roman"/>
                <w:sz w:val="28"/>
                <w:szCs w:val="28"/>
              </w:rPr>
              <w:t> 200</w:t>
            </w:r>
          </w:p>
          <w:p w:rsidR="003029EF" w:rsidRDefault="003029EF" w:rsidP="009552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1 939 076</w:t>
            </w:r>
          </w:p>
          <w:p w:rsidR="0044748F" w:rsidRPr="00812C27" w:rsidRDefault="006E3B7E" w:rsidP="009552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</w:t>
            </w:r>
            <w:r w:rsidR="00BD58D0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076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  <w:p w:rsidR="0044748F" w:rsidRPr="00812C27" w:rsidRDefault="0044748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  <w:p w:rsidR="0044748F" w:rsidRPr="00812C27" w:rsidRDefault="0044748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  <w:p w:rsidR="0044748F" w:rsidRPr="00812C27" w:rsidRDefault="0044748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DE35D5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  <w:p w:rsidR="00BD7C2B" w:rsidRPr="00812C27" w:rsidRDefault="00BD7C2B">
            <w:pPr>
              <w:spacing w:before="120"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BD7C2B" w:rsidRPr="00812C27" w:rsidRDefault="00BD7C2B" w:rsidP="00BD7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C2B" w:rsidRPr="00812C27" w:rsidRDefault="00BD7C2B" w:rsidP="00BD7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C2B" w:rsidRPr="00812C27" w:rsidRDefault="00BD7C2B" w:rsidP="00BD7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lastRenderedPageBreak/>
        <w:t>2</w:t>
      </w:r>
    </w:p>
    <w:p w:rsidR="00BD7C2B" w:rsidRPr="00812C27" w:rsidRDefault="00BD7C2B" w:rsidP="00BD7C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5754"/>
        <w:gridCol w:w="2039"/>
        <w:gridCol w:w="2036"/>
      </w:tblGrid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7" w:type="pct"/>
          </w:tcPr>
          <w:p w:rsidR="0044748F" w:rsidRDefault="009A3AFF" w:rsidP="003029EF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Витрати на оборотні активи (матеріали, папір, канцелярські товари тощо)</w:t>
            </w:r>
          </w:p>
          <w:p w:rsidR="003029EF" w:rsidRPr="00812C27" w:rsidRDefault="003029EF" w:rsidP="003029EF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90 грн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90 грн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7" w:type="pct"/>
          </w:tcPr>
          <w:p w:rsidR="0044748F" w:rsidRDefault="009A3AFF" w:rsidP="003029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Витрати, пов’язані із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наймом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додаткового персоналу, гривень</w:t>
            </w:r>
          </w:p>
          <w:p w:rsidR="003029EF" w:rsidRPr="00812C27" w:rsidRDefault="003029EF" w:rsidP="003029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7" w:type="pct"/>
            <w:vAlign w:val="center"/>
          </w:tcPr>
          <w:p w:rsidR="0044748F" w:rsidRPr="00812C27" w:rsidRDefault="009A3AFF">
            <w:pPr>
              <w:pStyle w:val="20"/>
              <w:ind w:firstLine="0"/>
              <w:rPr>
                <w:sz w:val="28"/>
                <w:szCs w:val="28"/>
                <w:lang w:val="uk-UA"/>
              </w:rPr>
            </w:pPr>
            <w:r w:rsidRPr="00812C27">
              <w:rPr>
                <w:sz w:val="28"/>
                <w:szCs w:val="28"/>
                <w:lang w:val="uk-UA"/>
              </w:rPr>
              <w:t>Інші витрати:</w:t>
            </w:r>
          </w:p>
          <w:p w:rsidR="0044748F" w:rsidRPr="00812C27" w:rsidRDefault="009A3AFF">
            <w:pPr>
              <w:pStyle w:val="20"/>
              <w:ind w:right="108" w:firstLine="0"/>
              <w:jc w:val="both"/>
              <w:rPr>
                <w:sz w:val="28"/>
                <w:szCs w:val="28"/>
                <w:lang w:val="uk-UA"/>
              </w:rPr>
            </w:pPr>
            <w:r w:rsidRPr="00812C27">
              <w:rPr>
                <w:iCs/>
                <w:sz w:val="28"/>
                <w:szCs w:val="28"/>
                <w:lang w:val="uk-UA"/>
              </w:rPr>
              <w:t xml:space="preserve">(Згідно зі статтею 8 </w:t>
            </w:r>
            <w:r w:rsidRPr="00812C27">
              <w:rPr>
                <w:sz w:val="28"/>
                <w:szCs w:val="28"/>
                <w:lang w:val="uk-UA"/>
              </w:rPr>
              <w:t xml:space="preserve">Закону України «Про </w:t>
            </w:r>
            <w:r w:rsidR="00C71786" w:rsidRPr="00812C27">
              <w:rPr>
                <w:sz w:val="28"/>
                <w:szCs w:val="28"/>
                <w:lang w:val="uk-UA"/>
              </w:rPr>
              <w:t>Державний бюджет України на 2025</w:t>
            </w:r>
            <w:r w:rsidRPr="00812C27">
              <w:rPr>
                <w:sz w:val="28"/>
                <w:szCs w:val="28"/>
                <w:lang w:val="uk-UA"/>
              </w:rPr>
              <w:t xml:space="preserve"> рік» </w:t>
            </w:r>
            <w:r w:rsidRPr="00812C27">
              <w:rPr>
                <w:sz w:val="28"/>
                <w:szCs w:val="28"/>
                <w:lang w:val="uk-UA"/>
              </w:rPr>
              <w:br/>
              <w:t xml:space="preserve">з </w:t>
            </w:r>
            <w:r w:rsidR="00C71786" w:rsidRPr="00812C27">
              <w:rPr>
                <w:sz w:val="28"/>
                <w:szCs w:val="28"/>
                <w:lang w:val="uk-UA"/>
              </w:rPr>
              <w:t>1 січня 2025 року</w:t>
            </w:r>
            <w:r w:rsidRPr="00812C27">
              <w:rPr>
                <w:sz w:val="28"/>
                <w:szCs w:val="28"/>
                <w:lang w:val="uk-UA"/>
              </w:rPr>
              <w:t xml:space="preserve"> мінімальна заробітна </w:t>
            </w:r>
            <w:r w:rsidRPr="00812C27">
              <w:rPr>
                <w:sz w:val="28"/>
                <w:szCs w:val="28"/>
                <w:lang w:val="uk-UA"/>
              </w:rPr>
              <w:br/>
              <w:t xml:space="preserve">плата складає у погодинному розмірі – </w:t>
            </w:r>
            <w:r w:rsidRPr="00812C27">
              <w:rPr>
                <w:sz w:val="28"/>
                <w:szCs w:val="28"/>
                <w:lang w:val="uk-UA"/>
              </w:rPr>
              <w:br/>
              <w:t>48,0 гривень)</w:t>
            </w:r>
          </w:p>
          <w:p w:rsidR="0044748F" w:rsidRPr="00812C27" w:rsidRDefault="009A3AFF">
            <w:pPr>
              <w:spacing w:after="0" w:line="240" w:lineRule="auto"/>
              <w:ind w:right="105"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разові часові витрати на ознайомлення з актом, гривень </w:t>
            </w:r>
          </w:p>
          <w:p w:rsidR="0044748F" w:rsidRDefault="009A3AFF" w:rsidP="00560EE1">
            <w:pPr>
              <w:spacing w:after="120" w:line="240" w:lineRule="auto"/>
              <w:ind w:right="108"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разові часові витрати на розроблення </w:t>
            </w:r>
            <w:r w:rsidR="00453290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інвестиційних програм проведення технічного переоснащення установок,</w:t>
            </w:r>
            <w:r w:rsidR="00453290" w:rsidRPr="00812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посадових інструкцій, інструкцій щодо безпечних умов праці, інструкції про заходи пожежної безпеки на кожну установку тощо, гривень (Розрахунок витрат суб’єктів господарювання, пов’язаних із виконанням вимог регуляторного </w:t>
            </w:r>
            <w:proofErr w:type="spellStart"/>
            <w:r w:rsidRPr="00812C27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812C27">
              <w:rPr>
                <w:rFonts w:ascii="Times New Roman" w:hAnsi="Times New Roman"/>
                <w:sz w:val="28"/>
                <w:szCs w:val="28"/>
              </w:rPr>
              <w:t xml:space="preserve"> та кількості часу, необхідного для цього) </w:t>
            </w:r>
          </w:p>
          <w:p w:rsidR="003029EF" w:rsidRPr="00812C27" w:rsidRDefault="003029EF" w:rsidP="003029EF">
            <w:pPr>
              <w:spacing w:after="0" w:line="240" w:lineRule="auto"/>
              <w:ind w:right="108"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1,0 год. * *48,0 грн=</w:t>
            </w: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= 48,0 грн</w:t>
            </w: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16 год. * *48,0 грн=</w:t>
            </w: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=768,0 грн</w:t>
            </w:r>
          </w:p>
        </w:tc>
        <w:tc>
          <w:tcPr>
            <w:tcW w:w="951" w:type="pct"/>
          </w:tcPr>
          <w:p w:rsidR="0044748F" w:rsidRPr="00812C27" w:rsidRDefault="0044748F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4748F" w:rsidRPr="00812C27" w:rsidRDefault="0044748F">
            <w:pPr>
              <w:spacing w:before="12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48,0  грн</w:t>
            </w: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4748F" w:rsidRPr="00812C27" w:rsidRDefault="0044748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4748F" w:rsidRPr="00812C27" w:rsidRDefault="009A3AF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768 грн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РАЗОМ витрати за рік (сума рядків: 1 + 2 + 3 + 4 + 5 + 6 + 7 + 8), гривень</w:t>
            </w:r>
          </w:p>
        </w:tc>
        <w:tc>
          <w:tcPr>
            <w:tcW w:w="952" w:type="pct"/>
            <w:vAlign w:val="center"/>
          </w:tcPr>
          <w:p w:rsidR="0044748F" w:rsidRDefault="006E3B7E" w:rsidP="003029EF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603333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F6505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45D5E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02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01297D" w:rsidRPr="00812C27" w:rsidRDefault="003029EF" w:rsidP="003029EF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25 106</w:t>
            </w:r>
          </w:p>
          <w:p w:rsidR="006E3B7E" w:rsidRPr="00812C27" w:rsidRDefault="00BD58D0" w:rsidP="003029EF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471</w:t>
            </w:r>
            <w:r w:rsidR="000F6505" w:rsidRPr="00812C27">
              <w:rPr>
                <w:rFonts w:ascii="Times New Roman" w:hAnsi="Times New Roman"/>
                <w:sz w:val="28"/>
                <w:szCs w:val="28"/>
              </w:rPr>
              <w:t> 1</w:t>
            </w:r>
            <w:r w:rsidR="0009547E" w:rsidRPr="00812C27">
              <w:rPr>
                <w:rFonts w:ascii="Times New Roman" w:hAnsi="Times New Roman"/>
                <w:sz w:val="28"/>
                <w:szCs w:val="28"/>
              </w:rPr>
              <w:t>0</w:t>
            </w:r>
            <w:r w:rsidR="00603333" w:rsidRPr="00812C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pct"/>
            <w:vAlign w:val="center"/>
          </w:tcPr>
          <w:p w:rsidR="0009547E" w:rsidRPr="00812C27" w:rsidRDefault="003029EF" w:rsidP="003029EF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25 106</w:t>
            </w:r>
          </w:p>
          <w:p w:rsidR="0044748F" w:rsidRPr="00812C27" w:rsidRDefault="00223DED" w:rsidP="003029EF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1 939 9</w:t>
            </w:r>
            <w:r w:rsidR="001662CD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  <w:p w:rsidR="0044748F" w:rsidRPr="00812C27" w:rsidRDefault="00700607" w:rsidP="003029EF">
            <w:pPr>
              <w:spacing w:after="0" w:line="240" w:lineRule="auto"/>
              <w:ind w:left="96" w:hanging="96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2 385</w:t>
            </w:r>
            <w:r w:rsidR="001662CD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982</w:t>
            </w:r>
          </w:p>
        </w:tc>
      </w:tr>
      <w:tr w:rsidR="00812C27" w:rsidRPr="00812C27">
        <w:trPr>
          <w:jc w:val="center"/>
        </w:trPr>
        <w:tc>
          <w:tcPr>
            <w:tcW w:w="410" w:type="pct"/>
          </w:tcPr>
          <w:p w:rsidR="0044748F" w:rsidRPr="00812C27" w:rsidRDefault="009A3AFF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7" w:type="pct"/>
          </w:tcPr>
          <w:p w:rsidR="0044748F" w:rsidRPr="00812C27" w:rsidRDefault="009A3AFF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44748F" w:rsidRPr="00812C27" w:rsidRDefault="0044748F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44748F" w:rsidRPr="00812C27" w:rsidRDefault="009A3AFF" w:rsidP="0014544F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951" w:type="pct"/>
          </w:tcPr>
          <w:p w:rsidR="0044748F" w:rsidRPr="00812C27" w:rsidRDefault="009A3AFF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</w:tr>
      <w:tr w:rsidR="00DE35D5" w:rsidRPr="00812C27" w:rsidTr="00560EE1">
        <w:trPr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1" w:rsidRPr="00812C27" w:rsidRDefault="00560EE1" w:rsidP="0032045B">
            <w:pPr>
              <w:spacing w:before="1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1" w:rsidRPr="00812C27" w:rsidRDefault="00560EE1" w:rsidP="0032045B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Сумарні річні витрати суб’єктів господарювання великого та середнього підприємництва, на виконання регулювання (вартість регулювання)</w:t>
            </w:r>
            <w:r w:rsidR="00551C58" w:rsidRPr="00812C27">
              <w:rPr>
                <w:rFonts w:ascii="Times New Roman" w:hAnsi="Times New Roman"/>
                <w:sz w:val="28"/>
                <w:szCs w:val="28"/>
              </w:rPr>
              <w:t>, гривень</w:t>
            </w:r>
          </w:p>
          <w:p w:rsidR="00560EE1" w:rsidRPr="00812C27" w:rsidRDefault="00560EE1" w:rsidP="0032045B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1" w:rsidRPr="00812C27" w:rsidRDefault="00945D5E" w:rsidP="0009547E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7 883 </w:t>
            </w:r>
            <w:r w:rsidR="00CC32BD" w:rsidRPr="00812C27">
              <w:rPr>
                <w:rFonts w:ascii="Times New Roman" w:hAnsi="Times New Roman"/>
                <w:sz w:val="28"/>
                <w:szCs w:val="28"/>
              </w:rPr>
              <w:t>2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8</w:t>
            </w:r>
            <w:r w:rsidR="00CC32BD" w:rsidRPr="00812C2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1297D" w:rsidRPr="00812C27" w:rsidRDefault="003029EF" w:rsidP="000129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7 883 284</w:t>
            </w:r>
          </w:p>
          <w:p w:rsidR="00560EE1" w:rsidRPr="00812C27" w:rsidRDefault="00700607" w:rsidP="000129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147</w:t>
            </w:r>
            <w:r w:rsidR="00560EE1" w:rsidRPr="00812C27">
              <w:rPr>
                <w:rFonts w:ascii="Times New Roman" w:hAnsi="Times New Roman"/>
                <w:sz w:val="28"/>
                <w:szCs w:val="28"/>
              </w:rPr>
              <w:t> </w:t>
            </w:r>
            <w:r w:rsidR="0001297D">
              <w:rPr>
                <w:rFonts w:ascii="Times New Roman" w:hAnsi="Times New Roman"/>
                <w:sz w:val="28"/>
                <w:szCs w:val="28"/>
              </w:rPr>
              <w:t>92</w:t>
            </w:r>
            <w:r w:rsidR="0009547E" w:rsidRPr="00812C27">
              <w:rPr>
                <w:rFonts w:ascii="Times New Roman" w:hAnsi="Times New Roman"/>
                <w:sz w:val="28"/>
                <w:szCs w:val="28"/>
              </w:rPr>
              <w:t>7</w:t>
            </w:r>
            <w:r w:rsidR="005B27C0" w:rsidRPr="00812C27">
              <w:rPr>
                <w:rFonts w:ascii="Times New Roman" w:hAnsi="Times New Roman"/>
                <w:sz w:val="28"/>
                <w:szCs w:val="28"/>
              </w:rPr>
              <w:t> 2</w:t>
            </w:r>
            <w:r w:rsidR="0009547E" w:rsidRPr="00812C27">
              <w:rPr>
                <w:rFonts w:ascii="Times New Roman" w:hAnsi="Times New Roman"/>
                <w:sz w:val="28"/>
                <w:szCs w:val="28"/>
              </w:rPr>
              <w:t>8</w:t>
            </w:r>
            <w:r w:rsidR="003029EF">
              <w:rPr>
                <w:rFonts w:ascii="Times New Roman" w:hAnsi="Times New Roman"/>
                <w:sz w:val="28"/>
                <w:szCs w:val="28"/>
              </w:rPr>
              <w:t>4</w:t>
            </w:r>
            <w:r w:rsidR="00560EE1" w:rsidRPr="00812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E" w:rsidRPr="00812C27" w:rsidRDefault="003029EF" w:rsidP="0009547E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7 883 284</w:t>
            </w:r>
          </w:p>
          <w:p w:rsidR="00560EE1" w:rsidRPr="00812C27" w:rsidRDefault="00560EE1" w:rsidP="000954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6</w:t>
            </w:r>
            <w:r w:rsidR="00700607" w:rsidRPr="00812C27">
              <w:rPr>
                <w:rFonts w:ascii="Times New Roman" w:hAnsi="Times New Roman"/>
                <w:sz w:val="28"/>
                <w:szCs w:val="28"/>
              </w:rPr>
              <w:t>09 154 348</w:t>
            </w:r>
          </w:p>
          <w:p w:rsidR="00560EE1" w:rsidRPr="00812C27" w:rsidRDefault="00700607" w:rsidP="00551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749 198</w:t>
            </w:r>
            <w:r w:rsidR="00560EE1" w:rsidRPr="00812C27">
              <w:rPr>
                <w:rFonts w:ascii="Times New Roman" w:hAnsi="Times New Roman"/>
                <w:sz w:val="28"/>
                <w:szCs w:val="28"/>
              </w:rPr>
              <w:t> 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</w:tbl>
    <w:p w:rsidR="00560EE1" w:rsidRPr="00812C27" w:rsidRDefault="00560EE1">
      <w:pPr>
        <w:rPr>
          <w:rFonts w:ascii="Times New Roman" w:hAnsi="Times New Roman"/>
        </w:rPr>
      </w:pPr>
    </w:p>
    <w:p w:rsidR="0044748F" w:rsidRPr="00812C27" w:rsidRDefault="00453290" w:rsidP="00560EE1">
      <w:pPr>
        <w:keepNext/>
        <w:pageBreakBefore/>
        <w:spacing w:after="24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0" w:name="n179"/>
      <w:bookmarkEnd w:id="10"/>
      <w:r w:rsidRPr="00812C2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</w:t>
      </w:r>
    </w:p>
    <w:p w:rsidR="00AA4F48" w:rsidRPr="00812C27" w:rsidRDefault="00AA4F48" w:rsidP="00AA4F48">
      <w:pPr>
        <w:jc w:val="center"/>
        <w:rPr>
          <w:rFonts w:ascii="Times New Roman" w:hAnsi="Times New Roman"/>
          <w:sz w:val="28"/>
          <w:szCs w:val="28"/>
        </w:rPr>
      </w:pPr>
      <w:r w:rsidRPr="00812C27">
        <w:rPr>
          <w:rFonts w:ascii="Times New Roman" w:hAnsi="Times New Roman"/>
          <w:sz w:val="28"/>
          <w:szCs w:val="28"/>
          <w:shd w:val="clear" w:color="auto" w:fill="FFFFFF"/>
        </w:rPr>
        <w:t>Розрахунок відповідних витрат на одного суб’єкта господарювання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1608"/>
        <w:gridCol w:w="2126"/>
        <w:gridCol w:w="1559"/>
      </w:tblGrid>
      <w:tr w:rsidR="00812C27" w:rsidRPr="00812C27" w:rsidTr="00DE35D5">
        <w:tc>
          <w:tcPr>
            <w:tcW w:w="2406" w:type="pct"/>
          </w:tcPr>
          <w:p w:rsidR="00DE35D5" w:rsidRPr="00812C27" w:rsidRDefault="00DE35D5" w:rsidP="007D436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788" w:type="pct"/>
          </w:tcPr>
          <w:p w:rsidR="00DE35D5" w:rsidRPr="00812C27" w:rsidRDefault="00DE35D5" w:rsidP="007D43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рік (стартовий)</w:t>
            </w:r>
          </w:p>
        </w:tc>
        <w:tc>
          <w:tcPr>
            <w:tcW w:w="1042" w:type="pct"/>
          </w:tcPr>
          <w:p w:rsidR="00DE35D5" w:rsidRPr="00812C27" w:rsidRDefault="00DE35D5" w:rsidP="007D436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764" w:type="pct"/>
          </w:tcPr>
          <w:p w:rsidR="00DE35D5" w:rsidRPr="00812C27" w:rsidRDefault="00DE35D5" w:rsidP="007D436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DE35D5" w:rsidRPr="00812C27" w:rsidTr="00DE35D5">
        <w:tc>
          <w:tcPr>
            <w:tcW w:w="2406" w:type="pct"/>
          </w:tcPr>
          <w:p w:rsidR="00DE35D5" w:rsidRPr="00812C27" w:rsidRDefault="00DE35D5" w:rsidP="003D7BA0">
            <w:pPr>
              <w:spacing w:after="0" w:line="240" w:lineRule="auto"/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тощо)</w:t>
            </w:r>
            <w:r w:rsidRPr="00812C27">
              <w:rPr>
                <w:rFonts w:ascii="Times New Roman" w:hAnsi="Times New Roman"/>
                <w:sz w:val="28"/>
                <w:szCs w:val="28"/>
              </w:rPr>
              <w:t>, гривень</w:t>
            </w:r>
          </w:p>
          <w:p w:rsidR="00DE35D5" w:rsidRPr="00812C27" w:rsidRDefault="00DE35D5" w:rsidP="003D7BA0">
            <w:pPr>
              <w:spacing w:before="120"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суб’єктів господарювання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E35D5" w:rsidRPr="00812C27" w:rsidRDefault="00DE35D5" w:rsidP="00302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експлуатують установки</w:t>
            </w:r>
            <w:r w:rsidR="003D7BA0" w:rsidRPr="00812C2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35D5" w:rsidRPr="00812C27" w:rsidRDefault="00DE35D5" w:rsidP="003029EF">
            <w:pPr>
              <w:spacing w:before="60" w:after="60" w:line="240" w:lineRule="auto"/>
              <w:ind w:firstLine="312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Витрати суб’єктів господарювання, 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експлуатують установки з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дотриманням загальних вимог природоохоронного законодавства до прийняття цього наказу</w:t>
            </w:r>
            <w:r w:rsidR="003D7BA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DE35D5" w:rsidRPr="00812C27" w:rsidRDefault="00DE35D5" w:rsidP="003029EF">
            <w:pPr>
              <w:spacing w:after="120" w:line="240" w:lineRule="auto"/>
              <w:ind w:firstLine="3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Витрати суб’єктів господарювання, які 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експлуатують або планують експлуатувати нові установки</w:t>
            </w:r>
            <w:bookmarkStart w:id="11" w:name="_GoBack"/>
            <w:bookmarkEnd w:id="11"/>
            <w:r w:rsidR="003D7BA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88" w:type="pct"/>
          </w:tcPr>
          <w:p w:rsidR="00DE35D5" w:rsidRPr="00812C27" w:rsidRDefault="003029EF" w:rsidP="00DE35D5">
            <w:pPr>
              <w:spacing w:before="120"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24 200</w:t>
            </w:r>
          </w:p>
          <w:p w:rsidR="0001297D" w:rsidRPr="00812C27" w:rsidRDefault="003029EF" w:rsidP="0001297D">
            <w:pPr>
              <w:spacing w:after="0" w:line="240" w:lineRule="auto"/>
              <w:ind w:firstLine="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24 200</w:t>
            </w: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</w:t>
            </w:r>
            <w:r w:rsidR="0061760B"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470 200</w:t>
            </w: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24 200 </w:t>
            </w:r>
          </w:p>
          <w:p w:rsidR="0061760B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60B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24 200 </w:t>
            </w:r>
          </w:p>
        </w:tc>
        <w:tc>
          <w:tcPr>
            <w:tcW w:w="1042" w:type="pct"/>
          </w:tcPr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1 914 876</w:t>
            </w: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1 914 876</w:t>
            </w: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1 914 876</w:t>
            </w:r>
          </w:p>
          <w:p w:rsidR="00DE35D5" w:rsidRPr="00812C27" w:rsidRDefault="00DE35D5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7D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764" w:type="pct"/>
          </w:tcPr>
          <w:p w:rsidR="003029EF" w:rsidRDefault="003029EF" w:rsidP="003029E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24 200</w:t>
            </w:r>
          </w:p>
          <w:p w:rsidR="003029EF" w:rsidRDefault="003029EF" w:rsidP="0030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1 939 076</w:t>
            </w:r>
          </w:p>
          <w:p w:rsidR="00DE35D5" w:rsidRPr="00812C27" w:rsidRDefault="00DE35D5" w:rsidP="0030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2 385 076</w:t>
            </w: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2 385 076</w:t>
            </w: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DE35D5" w:rsidP="00DE3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5D5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1 939 076 </w:t>
            </w:r>
          </w:p>
          <w:p w:rsidR="0061760B" w:rsidRDefault="0061760B" w:rsidP="006176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29EF" w:rsidRPr="00812C27" w:rsidRDefault="003029EF" w:rsidP="0030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760B" w:rsidRPr="00812C27" w:rsidRDefault="0061760B" w:rsidP="006176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hAnsi="Times New Roman"/>
                <w:sz w:val="28"/>
                <w:szCs w:val="28"/>
              </w:rPr>
              <w:t>24 200 </w:t>
            </w:r>
          </w:p>
        </w:tc>
      </w:tr>
    </w:tbl>
    <w:p w:rsidR="00945D5E" w:rsidRPr="00812C27" w:rsidRDefault="00945D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48F" w:rsidRPr="00812C27" w:rsidRDefault="009A3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2C2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44748F" w:rsidRPr="00812C27" w:rsidRDefault="009A3AFF" w:rsidP="0091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2C27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812C27">
        <w:rPr>
          <w:rFonts w:ascii="Times New Roman" w:eastAsia="Times New Roman" w:hAnsi="Times New Roman"/>
          <w:lang w:eastAsia="ru-RU"/>
        </w:rPr>
        <w:t xml:space="preserve"> Витрати </w:t>
      </w:r>
      <w:r w:rsidR="00CC22C9" w:rsidRPr="00812C27">
        <w:rPr>
          <w:rFonts w:ascii="Times New Roman" w:eastAsia="Times New Roman" w:hAnsi="Times New Roman"/>
          <w:bCs/>
          <w:lang w:eastAsia="uk-UA"/>
        </w:rPr>
        <w:t>суб’єктів господарювання</w:t>
      </w:r>
      <w:r w:rsidR="00CC22C9" w:rsidRPr="00812C27">
        <w:rPr>
          <w:rFonts w:ascii="Times New Roman" w:eastAsia="Times New Roman" w:hAnsi="Times New Roman"/>
          <w:lang w:eastAsia="ru-RU"/>
        </w:rPr>
        <w:t xml:space="preserve"> </w:t>
      </w:r>
      <w:r w:rsidRPr="00812C27">
        <w:rPr>
          <w:rFonts w:ascii="Times New Roman" w:eastAsia="Times New Roman" w:hAnsi="Times New Roman"/>
          <w:lang w:eastAsia="ru-RU"/>
        </w:rPr>
        <w:t>на виконання вимог Правил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 </w:t>
      </w:r>
      <w:r w:rsidR="00CC22C9" w:rsidRPr="00812C27">
        <w:rPr>
          <w:rFonts w:ascii="Times New Roman" w:eastAsia="Times New Roman" w:hAnsi="Times New Roman"/>
          <w:lang w:eastAsia="ru-RU"/>
        </w:rPr>
        <w:t>протягом першого року пов’язані із придбанням основних засобів</w:t>
      </w:r>
      <w:r w:rsidRPr="00812C27">
        <w:rPr>
          <w:rFonts w:ascii="Times New Roman" w:eastAsia="Times New Roman" w:hAnsi="Times New Roman"/>
          <w:lang w:eastAsia="ru-RU"/>
        </w:rPr>
        <w:t xml:space="preserve">, </w:t>
      </w:r>
      <w:r w:rsidR="00CC22C9" w:rsidRPr="00812C27">
        <w:rPr>
          <w:rFonts w:ascii="Times New Roman" w:eastAsia="Times New Roman" w:hAnsi="Times New Roman"/>
          <w:lang w:eastAsia="ru-RU"/>
        </w:rPr>
        <w:t>що</w:t>
      </w:r>
      <w:r w:rsidRPr="00812C27">
        <w:rPr>
          <w:rFonts w:ascii="Times New Roman" w:eastAsia="Times New Roman" w:hAnsi="Times New Roman"/>
          <w:lang w:eastAsia="ru-RU"/>
        </w:rPr>
        <w:t xml:space="preserve"> станом на п</w:t>
      </w:r>
      <w:r w:rsidR="006266D0" w:rsidRPr="00812C27">
        <w:rPr>
          <w:rFonts w:ascii="Times New Roman" w:eastAsia="Times New Roman" w:hAnsi="Times New Roman"/>
          <w:lang w:eastAsia="ru-RU"/>
        </w:rPr>
        <w:t>очаток 202</w:t>
      </w:r>
      <w:r w:rsidR="00C71786" w:rsidRPr="00812C27">
        <w:rPr>
          <w:rFonts w:ascii="Times New Roman" w:eastAsia="Times New Roman" w:hAnsi="Times New Roman"/>
          <w:lang w:eastAsia="ru-RU"/>
        </w:rPr>
        <w:t>5</w:t>
      </w:r>
      <w:r w:rsidR="006266D0" w:rsidRPr="00812C27">
        <w:rPr>
          <w:rFonts w:ascii="Times New Roman" w:eastAsia="Times New Roman" w:hAnsi="Times New Roman"/>
          <w:lang w:eastAsia="ru-RU"/>
        </w:rPr>
        <w:t xml:space="preserve"> року оцінені в </w:t>
      </w:r>
      <w:r w:rsidR="0032045B" w:rsidRPr="00812C27">
        <w:rPr>
          <w:rFonts w:ascii="Times New Roman" w:eastAsia="Times New Roman" w:hAnsi="Times New Roman"/>
          <w:lang w:eastAsia="ru-RU"/>
        </w:rPr>
        <w:t>470200</w:t>
      </w:r>
      <w:r w:rsidRPr="00812C27">
        <w:rPr>
          <w:rFonts w:ascii="Times New Roman" w:eastAsia="Times New Roman" w:hAnsi="Times New Roman"/>
          <w:lang w:eastAsia="ru-RU"/>
        </w:rPr>
        <w:t xml:space="preserve"> грн, зокрема на улаштування </w:t>
      </w:r>
      <w:hyperlink r:id="rId11" w:history="1"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огорожі</w:t>
        </w:r>
      </w:hyperlink>
      <w:r w:rsidRPr="00812C27">
        <w:rPr>
          <w:rFonts w:ascii="Times New Roman" w:eastAsia="Times New Roman" w:hAnsi="Times New Roman"/>
          <w:lang w:eastAsia="ru-RU"/>
        </w:rPr>
        <w:t xml:space="preserve"> – 364 000 грн, </w:t>
      </w:r>
      <w:hyperlink r:id="rId12" w:history="1"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воріт</w:t>
        </w:r>
      </w:hyperlink>
      <w:r w:rsidRPr="00812C27">
        <w:rPr>
          <w:rFonts w:ascii="Times New Roman" w:eastAsia="Times New Roman" w:hAnsi="Times New Roman"/>
          <w:lang w:eastAsia="ru-RU"/>
        </w:rPr>
        <w:t xml:space="preserve"> – 75 000 грн, придбання </w:t>
      </w:r>
      <w:hyperlink r:id="rId13" w:history="1">
        <w:proofErr w:type="spellStart"/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вагів</w:t>
        </w:r>
        <w:proofErr w:type="spellEnd"/>
      </w:hyperlink>
      <w:r w:rsidRPr="00812C27">
        <w:rPr>
          <w:rFonts w:ascii="Times New Roman" w:eastAsia="Times New Roman" w:hAnsi="Times New Roman"/>
          <w:lang w:eastAsia="ru-RU"/>
        </w:rPr>
        <w:t xml:space="preserve"> (5 тон) – 21 000 грн, </w:t>
      </w:r>
      <w:hyperlink r:id="rId14" w:history="1">
        <w:r w:rsidR="008E4DE2" w:rsidRPr="00812C27">
          <w:rPr>
            <w:rStyle w:val="a5"/>
            <w:rFonts w:ascii="Times New Roman" w:eastAsia="Times New Roman" w:hAnsi="Times New Roman"/>
            <w:color w:val="auto"/>
            <w:lang w:eastAsia="ru-RU"/>
          </w:rPr>
          <w:t>камер відеоспостереження</w:t>
        </w:r>
      </w:hyperlink>
      <w:r w:rsidR="0032045B" w:rsidRPr="00812C27">
        <w:rPr>
          <w:rStyle w:val="a5"/>
          <w:rFonts w:ascii="Times New Roman" w:eastAsia="Times New Roman" w:hAnsi="Times New Roman"/>
          <w:color w:val="auto"/>
          <w:lang w:eastAsia="ru-RU"/>
        </w:rPr>
        <w:br/>
      </w:r>
      <w:r w:rsidR="008E4DE2" w:rsidRPr="00812C27">
        <w:rPr>
          <w:rFonts w:ascii="Times New Roman" w:eastAsia="Times New Roman" w:hAnsi="Times New Roman"/>
          <w:lang w:eastAsia="ru-RU"/>
        </w:rPr>
        <w:t xml:space="preserve">(2 </w:t>
      </w:r>
      <w:proofErr w:type="spellStart"/>
      <w:r w:rsidR="008E4DE2" w:rsidRPr="00812C27">
        <w:rPr>
          <w:rFonts w:ascii="Times New Roman" w:eastAsia="Times New Roman" w:hAnsi="Times New Roman"/>
          <w:lang w:eastAsia="ru-RU"/>
        </w:rPr>
        <w:t>шт</w:t>
      </w:r>
      <w:proofErr w:type="spellEnd"/>
      <w:r w:rsidR="008E4DE2" w:rsidRPr="00812C27">
        <w:rPr>
          <w:rFonts w:ascii="Times New Roman" w:eastAsia="Times New Roman" w:hAnsi="Times New Roman"/>
          <w:lang w:eastAsia="ru-RU"/>
        </w:rPr>
        <w:t>) – 32</w:t>
      </w:r>
      <w:r w:rsidRPr="00812C27">
        <w:rPr>
          <w:rFonts w:ascii="Times New Roman" w:eastAsia="Times New Roman" w:hAnsi="Times New Roman"/>
          <w:lang w:eastAsia="ru-RU"/>
        </w:rPr>
        <w:t xml:space="preserve">00 грн, стенд для розміщення первинних </w:t>
      </w:r>
      <w:hyperlink r:id="rId15" w:history="1"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засобів пожежогасіння</w:t>
        </w:r>
      </w:hyperlink>
      <w:r w:rsidRPr="00812C27">
        <w:rPr>
          <w:rFonts w:ascii="Times New Roman" w:eastAsia="Times New Roman" w:hAnsi="Times New Roman"/>
          <w:lang w:eastAsia="ru-RU"/>
        </w:rPr>
        <w:t xml:space="preserve"> – 7 000 грн</w:t>
      </w:r>
    </w:p>
    <w:p w:rsidR="00CC22C9" w:rsidRPr="00812C27" w:rsidRDefault="00CC22C9" w:rsidP="00914AA6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812C27">
        <w:rPr>
          <w:rFonts w:ascii="Times New Roman" w:eastAsia="Times New Roman" w:hAnsi="Times New Roman"/>
          <w:lang w:eastAsia="ru-RU"/>
        </w:rPr>
        <w:t xml:space="preserve">протягом </w:t>
      </w:r>
      <w:r w:rsidR="00AE4C49" w:rsidRPr="00812C27">
        <w:rPr>
          <w:rFonts w:ascii="Times New Roman" w:eastAsia="Times New Roman" w:hAnsi="Times New Roman"/>
          <w:lang w:eastAsia="ru-RU"/>
        </w:rPr>
        <w:t xml:space="preserve">чотирьох </w:t>
      </w:r>
      <w:r w:rsidRPr="00812C27">
        <w:rPr>
          <w:rFonts w:ascii="Times New Roman" w:eastAsia="Times New Roman" w:hAnsi="Times New Roman"/>
          <w:lang w:eastAsia="ru-RU"/>
        </w:rPr>
        <w:t xml:space="preserve">років пов’язані із придбанням автоматичних засобів вимірювання </w:t>
      </w:r>
      <w:r w:rsidR="00AE4C49" w:rsidRPr="00812C27">
        <w:rPr>
          <w:rFonts w:ascii="Times New Roman" w:eastAsia="Times New Roman" w:hAnsi="Times New Roman"/>
          <w:lang w:eastAsia="ru-RU"/>
        </w:rPr>
        <w:br/>
      </w:r>
      <w:r w:rsidRPr="00812C27">
        <w:rPr>
          <w:rFonts w:ascii="Times New Roman" w:eastAsia="Times New Roman" w:hAnsi="Times New Roman"/>
          <w:lang w:eastAsia="ru-RU"/>
        </w:rPr>
        <w:t>(</w:t>
      </w:r>
      <w:hyperlink r:id="rId16" w:history="1"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за результатами тендера</w:t>
        </w:r>
      </w:hyperlink>
      <w:r w:rsidRPr="00812C27">
        <w:rPr>
          <w:rFonts w:ascii="Times New Roman" w:eastAsia="Times New Roman" w:hAnsi="Times New Roman"/>
          <w:lang w:eastAsia="ru-RU"/>
        </w:rPr>
        <w:t>) – 1 914 876 грн</w:t>
      </w:r>
    </w:p>
    <w:p w:rsidR="004C0F64" w:rsidRPr="00812C27" w:rsidRDefault="004C0F64" w:rsidP="00914A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C22C9" w:rsidRPr="00812C27" w:rsidRDefault="009A3AFF" w:rsidP="0091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2C27">
        <w:rPr>
          <w:rFonts w:ascii="Times New Roman" w:hAnsi="Times New Roman"/>
          <w:vertAlign w:val="superscript"/>
        </w:rPr>
        <w:t>2</w:t>
      </w:r>
      <w:r w:rsidRPr="00812C27">
        <w:rPr>
          <w:rFonts w:ascii="Times New Roman" w:hAnsi="Times New Roman"/>
        </w:rPr>
        <w:t xml:space="preserve"> </w:t>
      </w:r>
      <w:r w:rsidR="008530B4" w:rsidRPr="00812C27">
        <w:rPr>
          <w:rFonts w:ascii="Times New Roman" w:eastAsia="Times New Roman" w:hAnsi="Times New Roman"/>
          <w:lang w:eastAsia="ru-RU"/>
        </w:rPr>
        <w:t xml:space="preserve">Витрати </w:t>
      </w:r>
      <w:r w:rsidR="008530B4" w:rsidRPr="00812C27">
        <w:rPr>
          <w:rFonts w:ascii="Times New Roman" w:eastAsia="Times New Roman" w:hAnsi="Times New Roman"/>
          <w:bCs/>
          <w:lang w:eastAsia="uk-UA"/>
        </w:rPr>
        <w:t>суб’єктів господарювання,</w:t>
      </w:r>
      <w:r w:rsidR="008530B4" w:rsidRPr="00812C27">
        <w:rPr>
          <w:rFonts w:ascii="Times New Roman" w:eastAsia="Times New Roman" w:hAnsi="Times New Roman"/>
          <w:lang w:eastAsia="ru-RU"/>
        </w:rPr>
        <w:t xml:space="preserve"> які </w:t>
      </w:r>
      <w:r w:rsidRPr="00812C27">
        <w:rPr>
          <w:rFonts w:ascii="Times New Roman" w:eastAsia="Times New Roman" w:hAnsi="Times New Roman"/>
          <w:bCs/>
          <w:lang w:eastAsia="uk-UA"/>
        </w:rPr>
        <w:t xml:space="preserve">дотримувались загальних вимог природоохоронного законодавства до прийняття наказу, </w:t>
      </w:r>
      <w:r w:rsidR="00CC22C9" w:rsidRPr="00812C27">
        <w:rPr>
          <w:rFonts w:ascii="Times New Roman" w:eastAsia="Times New Roman" w:hAnsi="Times New Roman"/>
          <w:lang w:eastAsia="ru-RU"/>
        </w:rPr>
        <w:t>пов’язані із придбанням основних засобів, що</w:t>
      </w:r>
      <w:r w:rsidRPr="00812C27">
        <w:rPr>
          <w:rFonts w:ascii="Times New Roman" w:eastAsia="Times New Roman" w:hAnsi="Times New Roman"/>
          <w:lang w:eastAsia="ru-RU"/>
        </w:rPr>
        <w:t xml:space="preserve"> станом на п</w:t>
      </w:r>
      <w:r w:rsidR="00C71786" w:rsidRPr="00812C27">
        <w:rPr>
          <w:rFonts w:ascii="Times New Roman" w:eastAsia="Times New Roman" w:hAnsi="Times New Roman"/>
          <w:lang w:eastAsia="ru-RU"/>
        </w:rPr>
        <w:t>очаток 2025</w:t>
      </w:r>
      <w:r w:rsidR="00344D2C" w:rsidRPr="00812C27">
        <w:rPr>
          <w:rFonts w:ascii="Times New Roman" w:eastAsia="Times New Roman" w:hAnsi="Times New Roman"/>
          <w:lang w:eastAsia="ru-RU"/>
        </w:rPr>
        <w:t xml:space="preserve"> року </w:t>
      </w:r>
      <w:r w:rsidR="00CC22C9" w:rsidRPr="00812C27">
        <w:rPr>
          <w:rFonts w:ascii="Times New Roman" w:eastAsia="Times New Roman" w:hAnsi="Times New Roman"/>
          <w:lang w:eastAsia="ru-RU"/>
        </w:rPr>
        <w:t xml:space="preserve">протягом першого року </w:t>
      </w:r>
      <w:r w:rsidR="00344D2C" w:rsidRPr="00812C27">
        <w:rPr>
          <w:rFonts w:ascii="Times New Roman" w:eastAsia="Times New Roman" w:hAnsi="Times New Roman"/>
          <w:lang w:eastAsia="ru-RU"/>
        </w:rPr>
        <w:t xml:space="preserve">оцінені в </w:t>
      </w:r>
      <w:r w:rsidR="00F12AE3" w:rsidRPr="00812C27">
        <w:rPr>
          <w:rFonts w:ascii="Times New Roman" w:eastAsia="Times New Roman" w:hAnsi="Times New Roman"/>
          <w:lang w:eastAsia="ru-RU"/>
        </w:rPr>
        <w:t>24 200</w:t>
      </w:r>
      <w:r w:rsidRPr="00812C27">
        <w:rPr>
          <w:rFonts w:ascii="Times New Roman" w:eastAsia="Times New Roman" w:hAnsi="Times New Roman"/>
          <w:lang w:eastAsia="ru-RU"/>
        </w:rPr>
        <w:t xml:space="preserve"> грн, зокрема на придбання </w:t>
      </w:r>
      <w:hyperlink r:id="rId17" w:history="1">
        <w:proofErr w:type="spellStart"/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вагів</w:t>
        </w:r>
        <w:proofErr w:type="spellEnd"/>
      </w:hyperlink>
      <w:r w:rsidR="008530B4" w:rsidRPr="00812C27">
        <w:rPr>
          <w:rStyle w:val="aa"/>
          <w:rFonts w:ascii="Times New Roman" w:eastAsia="Times New Roman" w:hAnsi="Times New Roman"/>
          <w:color w:val="auto"/>
          <w:lang w:eastAsia="ru-RU"/>
        </w:rPr>
        <w:t xml:space="preserve"> </w:t>
      </w:r>
      <w:r w:rsidRPr="00812C27">
        <w:rPr>
          <w:rFonts w:ascii="Times New Roman" w:eastAsia="Times New Roman" w:hAnsi="Times New Roman"/>
          <w:lang w:eastAsia="ru-RU"/>
        </w:rPr>
        <w:t xml:space="preserve">(5 тон) – 21 000 грн, </w:t>
      </w:r>
      <w:hyperlink r:id="rId18" w:history="1">
        <w:r w:rsidRPr="00812C27">
          <w:rPr>
            <w:rStyle w:val="a5"/>
            <w:rFonts w:ascii="Times New Roman" w:eastAsia="Times New Roman" w:hAnsi="Times New Roman"/>
            <w:color w:val="auto"/>
            <w:lang w:eastAsia="ru-RU"/>
          </w:rPr>
          <w:t>камер відеоспостереження</w:t>
        </w:r>
      </w:hyperlink>
      <w:r w:rsidRPr="00812C27">
        <w:rPr>
          <w:rFonts w:ascii="Times New Roman" w:eastAsia="Times New Roman" w:hAnsi="Times New Roman"/>
          <w:lang w:eastAsia="ru-RU"/>
        </w:rPr>
        <w:t xml:space="preserve"> (</w:t>
      </w:r>
      <w:r w:rsidR="008E4DE2" w:rsidRPr="00812C27">
        <w:rPr>
          <w:rFonts w:ascii="Times New Roman" w:eastAsia="Times New Roman" w:hAnsi="Times New Roman"/>
          <w:lang w:eastAsia="ru-RU"/>
        </w:rPr>
        <w:t xml:space="preserve">2 </w:t>
      </w:r>
      <w:proofErr w:type="spellStart"/>
      <w:r w:rsidR="008E4DE2" w:rsidRPr="00812C27">
        <w:rPr>
          <w:rFonts w:ascii="Times New Roman" w:eastAsia="Times New Roman" w:hAnsi="Times New Roman"/>
          <w:lang w:eastAsia="ru-RU"/>
        </w:rPr>
        <w:t>шт</w:t>
      </w:r>
      <w:proofErr w:type="spellEnd"/>
      <w:r w:rsidR="008E4DE2" w:rsidRPr="00812C27">
        <w:rPr>
          <w:rFonts w:ascii="Times New Roman" w:eastAsia="Times New Roman" w:hAnsi="Times New Roman"/>
          <w:lang w:eastAsia="ru-RU"/>
        </w:rPr>
        <w:t>) – 3</w:t>
      </w:r>
      <w:r w:rsidRPr="00812C27">
        <w:rPr>
          <w:rFonts w:ascii="Times New Roman" w:eastAsia="Times New Roman" w:hAnsi="Times New Roman"/>
          <w:lang w:eastAsia="ru-RU"/>
        </w:rPr>
        <w:t xml:space="preserve">200 грн, </w:t>
      </w:r>
    </w:p>
    <w:p w:rsidR="00CC22C9" w:rsidRPr="00812C27" w:rsidRDefault="00CC22C9" w:rsidP="00914AA6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812C27">
        <w:rPr>
          <w:rFonts w:ascii="Times New Roman" w:eastAsia="Times New Roman" w:hAnsi="Times New Roman"/>
          <w:lang w:eastAsia="ru-RU"/>
        </w:rPr>
        <w:t xml:space="preserve">протягом </w:t>
      </w:r>
      <w:r w:rsidR="00A77916" w:rsidRPr="00812C27">
        <w:rPr>
          <w:rFonts w:ascii="Times New Roman" w:eastAsia="Times New Roman" w:hAnsi="Times New Roman"/>
          <w:lang w:eastAsia="ru-RU"/>
        </w:rPr>
        <w:t>чотирьох</w:t>
      </w:r>
      <w:r w:rsidRPr="00812C27">
        <w:rPr>
          <w:rFonts w:ascii="Times New Roman" w:eastAsia="Times New Roman" w:hAnsi="Times New Roman"/>
          <w:lang w:eastAsia="ru-RU"/>
        </w:rPr>
        <w:t xml:space="preserve"> років пов’язані із придбанням автоматичних засобів вимірювання </w:t>
      </w:r>
      <w:r w:rsidRPr="00812C27">
        <w:rPr>
          <w:rFonts w:ascii="Times New Roman" w:eastAsia="Times New Roman" w:hAnsi="Times New Roman"/>
          <w:lang w:eastAsia="ru-RU"/>
        </w:rPr>
        <w:br/>
        <w:t>(</w:t>
      </w:r>
      <w:hyperlink r:id="rId19" w:history="1">
        <w:r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за результатами тендера</w:t>
        </w:r>
      </w:hyperlink>
      <w:r w:rsidRPr="00812C27">
        <w:rPr>
          <w:rFonts w:ascii="Times New Roman" w:eastAsia="Times New Roman" w:hAnsi="Times New Roman"/>
          <w:lang w:eastAsia="ru-RU"/>
        </w:rPr>
        <w:t>) – 1 914 876 грн</w:t>
      </w:r>
    </w:p>
    <w:p w:rsidR="004C0F64" w:rsidRPr="00812C27" w:rsidRDefault="004C0F64" w:rsidP="00914A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11C7" w:rsidRPr="00812C27" w:rsidRDefault="004C0F64" w:rsidP="0091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12C27">
        <w:rPr>
          <w:rFonts w:ascii="Times New Roman" w:hAnsi="Times New Roman"/>
          <w:vertAlign w:val="superscript"/>
        </w:rPr>
        <w:t>3</w:t>
      </w:r>
      <w:r w:rsidR="003411C7" w:rsidRPr="00812C27">
        <w:rPr>
          <w:rFonts w:ascii="Times New Roman" w:hAnsi="Times New Roman"/>
        </w:rPr>
        <w:t xml:space="preserve"> 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Витрати </w:t>
      </w:r>
      <w:r w:rsidR="003411C7" w:rsidRPr="00812C27">
        <w:rPr>
          <w:rFonts w:ascii="Times New Roman" w:eastAsia="Times New Roman" w:hAnsi="Times New Roman"/>
          <w:bCs/>
          <w:lang w:eastAsia="uk-UA"/>
        </w:rPr>
        <w:t>суб’єктів господарювання,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 які </w:t>
      </w:r>
      <w:r w:rsidR="00914AA6" w:rsidRPr="00812C27">
        <w:rPr>
          <w:rFonts w:ascii="Times New Roman" w:eastAsia="Times New Roman" w:hAnsi="Times New Roman"/>
          <w:lang w:eastAsia="ru-RU"/>
        </w:rPr>
        <w:t>експлуатують або планують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 експлуатувати нові установки</w:t>
      </w:r>
      <w:r w:rsidR="003411C7" w:rsidRPr="00812C27">
        <w:rPr>
          <w:rFonts w:ascii="Times New Roman" w:eastAsia="Times New Roman" w:hAnsi="Times New Roman"/>
          <w:bCs/>
          <w:lang w:eastAsia="uk-UA"/>
        </w:rPr>
        <w:t xml:space="preserve">, </w:t>
      </w:r>
      <w:r w:rsidR="003411C7" w:rsidRPr="00812C27">
        <w:rPr>
          <w:rFonts w:ascii="Times New Roman" w:eastAsia="Times New Roman" w:hAnsi="Times New Roman"/>
          <w:lang w:eastAsia="ru-RU"/>
        </w:rPr>
        <w:t>пов’язані із придбанням основних за</w:t>
      </w:r>
      <w:r w:rsidR="00C71786" w:rsidRPr="00812C27">
        <w:rPr>
          <w:rFonts w:ascii="Times New Roman" w:eastAsia="Times New Roman" w:hAnsi="Times New Roman"/>
          <w:lang w:eastAsia="ru-RU"/>
        </w:rPr>
        <w:t>собів, що станом на початок 2025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 року протягом першого року оцінені в </w:t>
      </w:r>
      <w:r w:rsidR="00DE35D5" w:rsidRPr="00812C27">
        <w:rPr>
          <w:rFonts w:ascii="Times New Roman" w:eastAsia="Times New Roman" w:hAnsi="Times New Roman"/>
          <w:lang w:eastAsia="ru-RU"/>
        </w:rPr>
        <w:br/>
      </w:r>
      <w:r w:rsidR="003411C7" w:rsidRPr="00812C27">
        <w:rPr>
          <w:rFonts w:ascii="Times New Roman" w:eastAsia="Times New Roman" w:hAnsi="Times New Roman"/>
          <w:lang w:eastAsia="ru-RU"/>
        </w:rPr>
        <w:t xml:space="preserve">24 200 грн, зокрема на придбання </w:t>
      </w:r>
      <w:hyperlink r:id="rId20" w:history="1">
        <w:proofErr w:type="spellStart"/>
        <w:r w:rsidR="003411C7" w:rsidRPr="00812C27">
          <w:rPr>
            <w:rStyle w:val="aa"/>
            <w:rFonts w:ascii="Times New Roman" w:eastAsia="Times New Roman" w:hAnsi="Times New Roman"/>
            <w:color w:val="auto"/>
            <w:lang w:eastAsia="ru-RU"/>
          </w:rPr>
          <w:t>вагів</w:t>
        </w:r>
        <w:proofErr w:type="spellEnd"/>
      </w:hyperlink>
      <w:r w:rsidR="003411C7" w:rsidRPr="00812C27">
        <w:rPr>
          <w:rStyle w:val="aa"/>
          <w:rFonts w:ascii="Times New Roman" w:eastAsia="Times New Roman" w:hAnsi="Times New Roman"/>
          <w:color w:val="auto"/>
          <w:lang w:eastAsia="ru-RU"/>
        </w:rPr>
        <w:t xml:space="preserve"> </w:t>
      </w:r>
      <w:r w:rsidR="003411C7" w:rsidRPr="00812C27">
        <w:rPr>
          <w:rFonts w:ascii="Times New Roman" w:eastAsia="Times New Roman" w:hAnsi="Times New Roman"/>
          <w:lang w:eastAsia="ru-RU"/>
        </w:rPr>
        <w:t xml:space="preserve">(5 тон) – 21 000 грн,  </w:t>
      </w:r>
      <w:hyperlink r:id="rId21" w:history="1">
        <w:r w:rsidR="003411C7" w:rsidRPr="00812C27">
          <w:rPr>
            <w:rStyle w:val="a5"/>
            <w:rFonts w:ascii="Times New Roman" w:eastAsia="Times New Roman" w:hAnsi="Times New Roman"/>
            <w:color w:val="auto"/>
            <w:lang w:eastAsia="ru-RU"/>
          </w:rPr>
          <w:t>камер відеоспостереження</w:t>
        </w:r>
      </w:hyperlink>
      <w:r w:rsidR="003411C7" w:rsidRPr="00812C27">
        <w:rPr>
          <w:rFonts w:ascii="Times New Roman" w:eastAsia="Times New Roman" w:hAnsi="Times New Roman"/>
          <w:lang w:eastAsia="ru-RU"/>
        </w:rPr>
        <w:t xml:space="preserve"> (2 </w:t>
      </w:r>
      <w:proofErr w:type="spellStart"/>
      <w:r w:rsidR="003411C7" w:rsidRPr="00812C27">
        <w:rPr>
          <w:rFonts w:ascii="Times New Roman" w:eastAsia="Times New Roman" w:hAnsi="Times New Roman"/>
          <w:lang w:eastAsia="ru-RU"/>
        </w:rPr>
        <w:t>шт</w:t>
      </w:r>
      <w:proofErr w:type="spellEnd"/>
      <w:r w:rsidR="003411C7" w:rsidRPr="00812C27">
        <w:rPr>
          <w:rFonts w:ascii="Times New Roman" w:eastAsia="Times New Roman" w:hAnsi="Times New Roman"/>
          <w:lang w:eastAsia="ru-RU"/>
        </w:rPr>
        <w:t xml:space="preserve">) – 3200 грн </w:t>
      </w:r>
    </w:p>
    <w:p w:rsidR="00914AA6" w:rsidRPr="00812C27" w:rsidRDefault="00914AA6" w:rsidP="00351B7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12C27">
        <w:rPr>
          <w:rFonts w:ascii="Times New Roman" w:hAnsi="Times New Roman"/>
        </w:rPr>
        <w:t>Нові установки обладнані автоматизованими засобами вимірювання, з урахуванням вимог Порядку запровадження обов'язкових автоматизованих систем контролю викидів забруднюючих речовин, затвердженого постановою Кабінету Міністрів України від 28 березня 2023 року № 272, та іншими засобами вимірювання, які забезпечують моніторинг обов'язкових технічних параметрів, встановлених цими Правилами, а також моніторинг дотримання нормативів гранично допустимих викидів (скидів) забруднюючих речовин.</w:t>
      </w:r>
    </w:p>
    <w:p w:rsidR="00453290" w:rsidRPr="00812C27" w:rsidRDefault="00453290" w:rsidP="0045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4</w:t>
      </w:r>
    </w:p>
    <w:p w:rsidR="003411C7" w:rsidRDefault="0034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536" w:rsidRPr="00812C27" w:rsidRDefault="00983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17"/>
        <w:gridCol w:w="3048"/>
      </w:tblGrid>
      <w:tr w:rsidR="00812C27" w:rsidRPr="00812C27" w:rsidTr="003411C7">
        <w:tc>
          <w:tcPr>
            <w:tcW w:w="3936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3217" w:type="dxa"/>
            <w:vAlign w:val="center"/>
          </w:tcPr>
          <w:p w:rsidR="0044748F" w:rsidRPr="00812C27" w:rsidRDefault="009A3AFF" w:rsidP="002E095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048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44748F" w:rsidRPr="00812C27" w:rsidTr="003411C7">
        <w:tc>
          <w:tcPr>
            <w:tcW w:w="3936" w:type="dxa"/>
          </w:tcPr>
          <w:p w:rsidR="003411C7" w:rsidRPr="00812C27" w:rsidRDefault="009A3AFF" w:rsidP="002E0958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17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8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4748F" w:rsidRDefault="00447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3536" w:rsidRPr="00812C27" w:rsidRDefault="0098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134"/>
        <w:gridCol w:w="1451"/>
      </w:tblGrid>
      <w:tr w:rsidR="00812C27" w:rsidRPr="00812C27" w:rsidTr="004227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ведення обліку, підготовку та подання звітності</w:t>
            </w:r>
          </w:p>
          <w:p w:rsidR="00AA4F48" w:rsidRPr="00812C27" w:rsidRDefault="00AA4F48" w:rsidP="0042279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Разом за рік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ind w:right="-17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812C27" w:rsidRPr="00812C27" w:rsidTr="004227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A4F48" w:rsidRPr="00812C27" w:rsidRDefault="00AA4F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4748F" w:rsidRPr="00812C27" w:rsidRDefault="00447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992"/>
        <w:gridCol w:w="1451"/>
      </w:tblGrid>
      <w:tr w:rsidR="00812C27" w:rsidRPr="00812C27" w:rsidTr="003411C7">
        <w:tc>
          <w:tcPr>
            <w:tcW w:w="3936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1984" w:type="dxa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Витрати на адміністрування заходів державного нагляду (контролю) </w:t>
            </w:r>
          </w:p>
          <w:p w:rsidR="0044748F" w:rsidRPr="00812C27" w:rsidRDefault="009A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рік)</w:t>
            </w:r>
          </w:p>
        </w:tc>
        <w:tc>
          <w:tcPr>
            <w:tcW w:w="1843" w:type="dxa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Витрати на оплату штрафних санкцій та усунення виявлених порушень </w:t>
            </w:r>
          </w:p>
          <w:p w:rsidR="0044748F" w:rsidRPr="00812C27" w:rsidRDefault="009A3AFF" w:rsidP="002E095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рік)</w:t>
            </w:r>
          </w:p>
        </w:tc>
        <w:tc>
          <w:tcPr>
            <w:tcW w:w="992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Разом за рік</w:t>
            </w:r>
          </w:p>
        </w:tc>
        <w:tc>
          <w:tcPr>
            <w:tcW w:w="1451" w:type="dxa"/>
            <w:vAlign w:val="center"/>
          </w:tcPr>
          <w:p w:rsidR="0044748F" w:rsidRPr="00812C27" w:rsidRDefault="009A3AFF" w:rsidP="00A77916">
            <w:pPr>
              <w:spacing w:beforeAutospacing="1" w:after="0" w:afterAutospacing="1" w:line="240" w:lineRule="auto"/>
              <w:ind w:right="-17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812C27" w:rsidRPr="00812C27" w:rsidTr="003411C7">
        <w:tc>
          <w:tcPr>
            <w:tcW w:w="3936" w:type="dxa"/>
            <w:vAlign w:val="center"/>
          </w:tcPr>
          <w:p w:rsidR="0044748F" w:rsidRPr="00812C27" w:rsidRDefault="009A3AFF" w:rsidP="002E0958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984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vAlign w:val="center"/>
          </w:tcPr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E0958" w:rsidRPr="00812C27" w:rsidRDefault="002E0958" w:rsidP="002E0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958" w:rsidRPr="00812C27" w:rsidRDefault="002E0958" w:rsidP="002E0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1C7" w:rsidRPr="00812C27" w:rsidRDefault="003411C7" w:rsidP="0034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27">
        <w:rPr>
          <w:rFonts w:ascii="Times New Roman" w:hAnsi="Times New Roman"/>
          <w:sz w:val="24"/>
          <w:szCs w:val="24"/>
        </w:rPr>
        <w:t>5</w:t>
      </w:r>
    </w:p>
    <w:p w:rsidR="003411C7" w:rsidRPr="00812C27" w:rsidRDefault="003411C7" w:rsidP="0034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D8A" w:rsidRPr="00812C27" w:rsidRDefault="003B4D8A" w:rsidP="0045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134"/>
        <w:gridCol w:w="1451"/>
      </w:tblGrid>
      <w:tr w:rsidR="00812C27" w:rsidRPr="00812C27" w:rsidTr="003411C7">
        <w:tc>
          <w:tcPr>
            <w:tcW w:w="4219" w:type="dxa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1701" w:type="dxa"/>
            <w:vAlign w:val="center"/>
          </w:tcPr>
          <w:p w:rsidR="0044748F" w:rsidRPr="00812C27" w:rsidRDefault="009A3AF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701" w:type="dxa"/>
            <w:vAlign w:val="center"/>
          </w:tcPr>
          <w:p w:rsidR="0044748F" w:rsidRPr="00812C27" w:rsidRDefault="009A3AFF">
            <w:pPr>
              <w:spacing w:after="0" w:line="240" w:lineRule="auto"/>
              <w:ind w:left="-74" w:righ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Витрати </w:t>
            </w:r>
            <w:proofErr w:type="spellStart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безпосе-редньо</w:t>
            </w:r>
            <w:proofErr w:type="spellEnd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дозволи, ліцензії, сертифікати, страхові поліси (за рік – стартовий)</w:t>
            </w:r>
          </w:p>
        </w:tc>
        <w:tc>
          <w:tcPr>
            <w:tcW w:w="1134" w:type="dxa"/>
            <w:vAlign w:val="center"/>
          </w:tcPr>
          <w:p w:rsidR="0044748F" w:rsidRPr="00812C27" w:rsidRDefault="009A3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Разом за рік (</w:t>
            </w:r>
            <w:proofErr w:type="spellStart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старто</w:t>
            </w:r>
            <w:proofErr w:type="spellEnd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-вий)</w:t>
            </w:r>
          </w:p>
        </w:tc>
        <w:tc>
          <w:tcPr>
            <w:tcW w:w="1451" w:type="dxa"/>
            <w:vAlign w:val="center"/>
          </w:tcPr>
          <w:p w:rsidR="0044748F" w:rsidRPr="00812C27" w:rsidRDefault="009A3AFF" w:rsidP="00A77916">
            <w:pPr>
              <w:spacing w:after="0" w:line="240" w:lineRule="auto"/>
              <w:ind w:right="-17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812C27" w:rsidRPr="00812C27" w:rsidTr="003411C7">
        <w:tc>
          <w:tcPr>
            <w:tcW w:w="4219" w:type="dxa"/>
          </w:tcPr>
          <w:p w:rsidR="0044748F" w:rsidRPr="00812C27" w:rsidRDefault="009A3AFF" w:rsidP="003411C7">
            <w:pPr>
              <w:spacing w:beforeAutospacing="1" w:after="0" w:afterAutospacing="1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44748F" w:rsidRPr="00812C27" w:rsidRDefault="0044748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44748F" w:rsidRPr="00812C27" w:rsidRDefault="0044748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4748F" w:rsidRPr="00812C27" w:rsidRDefault="0044748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</w:tcPr>
          <w:p w:rsidR="0044748F" w:rsidRPr="00812C27" w:rsidRDefault="0044748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748F" w:rsidRPr="00812C27" w:rsidRDefault="009A3AF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4748F" w:rsidRPr="00812C27" w:rsidRDefault="00447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A4F48" w:rsidRPr="00812C27" w:rsidRDefault="00AA4F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55"/>
        <w:gridCol w:w="2020"/>
        <w:gridCol w:w="2090"/>
      </w:tblGrid>
      <w:tr w:rsidR="00812C27" w:rsidRPr="00812C27" w:rsidTr="00422798">
        <w:tc>
          <w:tcPr>
            <w:tcW w:w="3936" w:type="dxa"/>
          </w:tcPr>
          <w:p w:rsidR="00AA4F48" w:rsidRPr="00812C27" w:rsidRDefault="00AA4F48" w:rsidP="004227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2155" w:type="dxa"/>
          </w:tcPr>
          <w:p w:rsidR="00AA4F48" w:rsidRPr="00812C27" w:rsidRDefault="00AA4F48" w:rsidP="0042279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рік (стартовий)</w:t>
            </w:r>
          </w:p>
        </w:tc>
        <w:tc>
          <w:tcPr>
            <w:tcW w:w="2020" w:type="dxa"/>
          </w:tcPr>
          <w:p w:rsidR="00AA4F48" w:rsidRPr="00812C27" w:rsidRDefault="00AA4F48" w:rsidP="004227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2090" w:type="dxa"/>
          </w:tcPr>
          <w:p w:rsidR="00AA4F48" w:rsidRPr="00812C27" w:rsidRDefault="00AA4F48" w:rsidP="004227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AA4F48" w:rsidRPr="00812C27" w:rsidTr="00422798">
        <w:tc>
          <w:tcPr>
            <w:tcW w:w="3936" w:type="dxa"/>
          </w:tcPr>
          <w:p w:rsidR="00AA4F48" w:rsidRPr="00812C27" w:rsidRDefault="00AA4F48" w:rsidP="00422798">
            <w:pPr>
              <w:spacing w:after="12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оборотні активи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(матеріали, канцелярські товари тощо)</w:t>
            </w:r>
          </w:p>
        </w:tc>
        <w:tc>
          <w:tcPr>
            <w:tcW w:w="2155" w:type="dxa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20" w:type="dxa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90" w:type="dxa"/>
          </w:tcPr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4F48" w:rsidRPr="00812C27" w:rsidRDefault="00AA4F48" w:rsidP="0042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44748F" w:rsidRPr="00812C27" w:rsidRDefault="0044748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AA4F48" w:rsidRDefault="00AA4F48" w:rsidP="00AA4F48">
      <w:pPr>
        <w:spacing w:before="120" w:after="120" w:line="240" w:lineRule="auto"/>
        <w:ind w:right="-92"/>
        <w:jc w:val="both"/>
        <w:rPr>
          <w:rFonts w:ascii="Times New Roman" w:hAnsi="Times New Roman"/>
        </w:rPr>
      </w:pPr>
      <w:r w:rsidRPr="00812C27">
        <w:rPr>
          <w:rFonts w:ascii="Times New Roman" w:hAnsi="Times New Roman"/>
          <w:vertAlign w:val="superscript"/>
        </w:rPr>
        <w:t>1 </w:t>
      </w:r>
      <w:r w:rsidRPr="00812C27">
        <w:rPr>
          <w:rFonts w:ascii="Times New Roman" w:hAnsi="Times New Roman"/>
        </w:rPr>
        <w:t xml:space="preserve">Середня ринкова вартість упаковки паперу офісного формату А4 на 500 аркушів становить </w:t>
      </w:r>
      <w:r w:rsidRPr="00812C27">
        <w:rPr>
          <w:rFonts w:ascii="Times New Roman" w:hAnsi="Times New Roman"/>
        </w:rPr>
        <w:br/>
        <w:t xml:space="preserve">200 гривень Для підготовки документів необхідно буде близько 100 аркушів паперу, відповідно вартість паперу становить 40 гривень, прогнозна вартість витраченого чорнила з картриджу та канцелярських товарів також становитиме 50 гривень </w:t>
      </w:r>
    </w:p>
    <w:p w:rsidR="00CB1297" w:rsidRPr="00812C27" w:rsidRDefault="00CB1297" w:rsidP="00AA4F48">
      <w:pPr>
        <w:spacing w:before="120" w:after="120" w:line="240" w:lineRule="auto"/>
        <w:ind w:right="-92"/>
        <w:jc w:val="both"/>
        <w:rPr>
          <w:rFonts w:ascii="Times New Roman" w:hAnsi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260"/>
        <w:gridCol w:w="2693"/>
      </w:tblGrid>
      <w:tr w:rsidR="00CB1297" w:rsidRPr="00812C27" w:rsidTr="00825F94">
        <w:tc>
          <w:tcPr>
            <w:tcW w:w="4248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витрат</w:t>
            </w:r>
          </w:p>
        </w:tc>
        <w:tc>
          <w:tcPr>
            <w:tcW w:w="3260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2693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CB1297" w:rsidRPr="00812C27" w:rsidTr="00825F94">
        <w:tc>
          <w:tcPr>
            <w:tcW w:w="4248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Витрати, пов’язані із </w:t>
            </w:r>
            <w:proofErr w:type="spellStart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наймом</w:t>
            </w:r>
            <w:proofErr w:type="spellEnd"/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додаткового персоналу</w:t>
            </w:r>
          </w:p>
        </w:tc>
        <w:tc>
          <w:tcPr>
            <w:tcW w:w="3260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CB1297" w:rsidRPr="00812C27" w:rsidRDefault="00CB1297" w:rsidP="00825F9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A4F48" w:rsidRPr="00812C27" w:rsidRDefault="00AA4F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4748F" w:rsidRPr="00812C27" w:rsidRDefault="009A3AFF">
      <w:pPr>
        <w:tabs>
          <w:tab w:val="left" w:pos="2904"/>
        </w:tabs>
        <w:jc w:val="center"/>
        <w:rPr>
          <w:rFonts w:ascii="Times New Roman" w:hAnsi="Times New Roman"/>
          <w:iCs/>
          <w:sz w:val="32"/>
          <w:szCs w:val="32"/>
        </w:rPr>
      </w:pPr>
      <w:r w:rsidRPr="00812C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bookmarkEnd w:id="9"/>
    </w:p>
    <w:sectPr w:rsidR="0044748F" w:rsidRPr="00812C27" w:rsidSect="00945D5E">
      <w:headerReference w:type="default" r:id="rId22"/>
      <w:pgSz w:w="12240" w:h="15840"/>
      <w:pgMar w:top="850" w:right="616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8C" w:rsidRDefault="00660F8C">
      <w:pPr>
        <w:spacing w:line="240" w:lineRule="auto"/>
      </w:pPr>
      <w:r>
        <w:separator/>
      </w:r>
    </w:p>
  </w:endnote>
  <w:endnote w:type="continuationSeparator" w:id="0">
    <w:p w:rsidR="00660F8C" w:rsidRDefault="0066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Microsoft YaHei"/>
    <w:charset w:val="86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8C" w:rsidRDefault="00660F8C">
      <w:pPr>
        <w:spacing w:after="0"/>
      </w:pPr>
      <w:r>
        <w:separator/>
      </w:r>
    </w:p>
  </w:footnote>
  <w:footnote w:type="continuationSeparator" w:id="0">
    <w:p w:rsidR="00660F8C" w:rsidRDefault="00660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193127"/>
      <w:docPartObj>
        <w:docPartGallery w:val="AutoText"/>
      </w:docPartObj>
    </w:sdtPr>
    <w:sdtEndPr/>
    <w:sdtContent>
      <w:p w:rsidR="007D4369" w:rsidRDefault="007D4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A0" w:rsidRPr="003D7BA0">
          <w:rPr>
            <w:noProof/>
            <w:lang w:val="ru-RU"/>
          </w:rPr>
          <w:t>13</w:t>
        </w:r>
        <w:r>
          <w:fldChar w:fldCharType="end"/>
        </w:r>
      </w:p>
    </w:sdtContent>
  </w:sdt>
  <w:p w:rsidR="007D4369" w:rsidRDefault="007D43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69" w:rsidRDefault="007D4369">
    <w:pPr>
      <w:pStyle w:val="a8"/>
      <w:jc w:val="center"/>
    </w:pPr>
  </w:p>
  <w:p w:rsidR="007D4369" w:rsidRDefault="007D43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E1"/>
    <w:rsid w:val="000012B8"/>
    <w:rsid w:val="000047A1"/>
    <w:rsid w:val="00006137"/>
    <w:rsid w:val="0000662C"/>
    <w:rsid w:val="00007AB8"/>
    <w:rsid w:val="0001297D"/>
    <w:rsid w:val="00013921"/>
    <w:rsid w:val="0001508D"/>
    <w:rsid w:val="00016728"/>
    <w:rsid w:val="00022B6F"/>
    <w:rsid w:val="00025035"/>
    <w:rsid w:val="0003106F"/>
    <w:rsid w:val="000357E3"/>
    <w:rsid w:val="00035E60"/>
    <w:rsid w:val="000423A2"/>
    <w:rsid w:val="00046360"/>
    <w:rsid w:val="0004666B"/>
    <w:rsid w:val="0005249D"/>
    <w:rsid w:val="00052F81"/>
    <w:rsid w:val="000541F0"/>
    <w:rsid w:val="00055B54"/>
    <w:rsid w:val="00055C3C"/>
    <w:rsid w:val="00056751"/>
    <w:rsid w:val="0005687E"/>
    <w:rsid w:val="00057B5C"/>
    <w:rsid w:val="00057D61"/>
    <w:rsid w:val="00062831"/>
    <w:rsid w:val="000638C3"/>
    <w:rsid w:val="000645DF"/>
    <w:rsid w:val="000648D6"/>
    <w:rsid w:val="000666E2"/>
    <w:rsid w:val="00067341"/>
    <w:rsid w:val="00070BAF"/>
    <w:rsid w:val="00075985"/>
    <w:rsid w:val="00080B00"/>
    <w:rsid w:val="00084ED7"/>
    <w:rsid w:val="00085186"/>
    <w:rsid w:val="0008544B"/>
    <w:rsid w:val="00090532"/>
    <w:rsid w:val="0009145C"/>
    <w:rsid w:val="0009547E"/>
    <w:rsid w:val="000961ED"/>
    <w:rsid w:val="000974BC"/>
    <w:rsid w:val="000A2263"/>
    <w:rsid w:val="000A587D"/>
    <w:rsid w:val="000B0FD9"/>
    <w:rsid w:val="000B228A"/>
    <w:rsid w:val="000B3169"/>
    <w:rsid w:val="000C0345"/>
    <w:rsid w:val="000C3D0D"/>
    <w:rsid w:val="000C584F"/>
    <w:rsid w:val="000D16E7"/>
    <w:rsid w:val="000D3CA7"/>
    <w:rsid w:val="000D5372"/>
    <w:rsid w:val="000D69A0"/>
    <w:rsid w:val="000D6D34"/>
    <w:rsid w:val="000D725B"/>
    <w:rsid w:val="000E1B0F"/>
    <w:rsid w:val="000E2AA5"/>
    <w:rsid w:val="000E3B08"/>
    <w:rsid w:val="000E4EAE"/>
    <w:rsid w:val="000F2D94"/>
    <w:rsid w:val="000F4476"/>
    <w:rsid w:val="000F6505"/>
    <w:rsid w:val="000F77CC"/>
    <w:rsid w:val="00100255"/>
    <w:rsid w:val="001014F2"/>
    <w:rsid w:val="00103C43"/>
    <w:rsid w:val="00104075"/>
    <w:rsid w:val="00104AB5"/>
    <w:rsid w:val="0010544C"/>
    <w:rsid w:val="0010696D"/>
    <w:rsid w:val="0011068F"/>
    <w:rsid w:val="00111E2F"/>
    <w:rsid w:val="001158D3"/>
    <w:rsid w:val="00116524"/>
    <w:rsid w:val="00120D2B"/>
    <w:rsid w:val="0012122C"/>
    <w:rsid w:val="00124234"/>
    <w:rsid w:val="0012512E"/>
    <w:rsid w:val="0013056C"/>
    <w:rsid w:val="001310ED"/>
    <w:rsid w:val="00131C63"/>
    <w:rsid w:val="00132783"/>
    <w:rsid w:val="001338F8"/>
    <w:rsid w:val="00140386"/>
    <w:rsid w:val="001450C4"/>
    <w:rsid w:val="0014544F"/>
    <w:rsid w:val="00145EC5"/>
    <w:rsid w:val="00146BDE"/>
    <w:rsid w:val="001508C8"/>
    <w:rsid w:val="001520D7"/>
    <w:rsid w:val="00152E62"/>
    <w:rsid w:val="00155EB2"/>
    <w:rsid w:val="0015613C"/>
    <w:rsid w:val="001577BD"/>
    <w:rsid w:val="0015785A"/>
    <w:rsid w:val="00157AFA"/>
    <w:rsid w:val="001618CF"/>
    <w:rsid w:val="00163A53"/>
    <w:rsid w:val="00165624"/>
    <w:rsid w:val="00165746"/>
    <w:rsid w:val="00165D76"/>
    <w:rsid w:val="00165E67"/>
    <w:rsid w:val="00166193"/>
    <w:rsid w:val="001662CD"/>
    <w:rsid w:val="00167D95"/>
    <w:rsid w:val="00177122"/>
    <w:rsid w:val="001807C8"/>
    <w:rsid w:val="0018291C"/>
    <w:rsid w:val="0018388C"/>
    <w:rsid w:val="00184668"/>
    <w:rsid w:val="00184E82"/>
    <w:rsid w:val="00186C6F"/>
    <w:rsid w:val="001914AA"/>
    <w:rsid w:val="00194FAB"/>
    <w:rsid w:val="00195215"/>
    <w:rsid w:val="00195359"/>
    <w:rsid w:val="0019559B"/>
    <w:rsid w:val="0019654C"/>
    <w:rsid w:val="0019660E"/>
    <w:rsid w:val="001966C5"/>
    <w:rsid w:val="00196BC6"/>
    <w:rsid w:val="00197397"/>
    <w:rsid w:val="001A160D"/>
    <w:rsid w:val="001A30EA"/>
    <w:rsid w:val="001A4665"/>
    <w:rsid w:val="001A63C0"/>
    <w:rsid w:val="001A65EA"/>
    <w:rsid w:val="001A6600"/>
    <w:rsid w:val="001A7804"/>
    <w:rsid w:val="001B1DB4"/>
    <w:rsid w:val="001B3146"/>
    <w:rsid w:val="001B5810"/>
    <w:rsid w:val="001B7A34"/>
    <w:rsid w:val="001C0069"/>
    <w:rsid w:val="001C08B4"/>
    <w:rsid w:val="001C37FD"/>
    <w:rsid w:val="001C48BC"/>
    <w:rsid w:val="001D089D"/>
    <w:rsid w:val="001D08BC"/>
    <w:rsid w:val="001D100C"/>
    <w:rsid w:val="001D1E23"/>
    <w:rsid w:val="001D2230"/>
    <w:rsid w:val="001D2247"/>
    <w:rsid w:val="001D47E7"/>
    <w:rsid w:val="001D53C3"/>
    <w:rsid w:val="001D6D41"/>
    <w:rsid w:val="001D6FD2"/>
    <w:rsid w:val="001E14BE"/>
    <w:rsid w:val="001E17D5"/>
    <w:rsid w:val="001E222C"/>
    <w:rsid w:val="001E2ACF"/>
    <w:rsid w:val="001E4FAD"/>
    <w:rsid w:val="001E7B26"/>
    <w:rsid w:val="001F4A91"/>
    <w:rsid w:val="001F4F74"/>
    <w:rsid w:val="001F5195"/>
    <w:rsid w:val="001F5F3C"/>
    <w:rsid w:val="001F6570"/>
    <w:rsid w:val="00201FF1"/>
    <w:rsid w:val="00203DCF"/>
    <w:rsid w:val="002040A3"/>
    <w:rsid w:val="002077FB"/>
    <w:rsid w:val="00211495"/>
    <w:rsid w:val="00212AFD"/>
    <w:rsid w:val="00214737"/>
    <w:rsid w:val="002148A6"/>
    <w:rsid w:val="00214F0D"/>
    <w:rsid w:val="002158E3"/>
    <w:rsid w:val="002237D6"/>
    <w:rsid w:val="00223DED"/>
    <w:rsid w:val="00234C71"/>
    <w:rsid w:val="0023679B"/>
    <w:rsid w:val="0023752F"/>
    <w:rsid w:val="002375C3"/>
    <w:rsid w:val="002410CB"/>
    <w:rsid w:val="00241F7E"/>
    <w:rsid w:val="00243107"/>
    <w:rsid w:val="0024467F"/>
    <w:rsid w:val="00246DEF"/>
    <w:rsid w:val="00246E4C"/>
    <w:rsid w:val="00250020"/>
    <w:rsid w:val="00250BA8"/>
    <w:rsid w:val="00251195"/>
    <w:rsid w:val="002514D9"/>
    <w:rsid w:val="0025508E"/>
    <w:rsid w:val="002555C4"/>
    <w:rsid w:val="0025615D"/>
    <w:rsid w:val="00257EE9"/>
    <w:rsid w:val="00263CB7"/>
    <w:rsid w:val="00267BDA"/>
    <w:rsid w:val="00267F23"/>
    <w:rsid w:val="00270095"/>
    <w:rsid w:val="00270633"/>
    <w:rsid w:val="00271302"/>
    <w:rsid w:val="002717B1"/>
    <w:rsid w:val="00273C07"/>
    <w:rsid w:val="002748E0"/>
    <w:rsid w:val="002748FC"/>
    <w:rsid w:val="00274BCD"/>
    <w:rsid w:val="00277953"/>
    <w:rsid w:val="00277AE6"/>
    <w:rsid w:val="0028410E"/>
    <w:rsid w:val="002848BB"/>
    <w:rsid w:val="00285145"/>
    <w:rsid w:val="002859BF"/>
    <w:rsid w:val="00285DA5"/>
    <w:rsid w:val="0029098F"/>
    <w:rsid w:val="00290F7C"/>
    <w:rsid w:val="00291471"/>
    <w:rsid w:val="002966A6"/>
    <w:rsid w:val="002A05C4"/>
    <w:rsid w:val="002A1958"/>
    <w:rsid w:val="002A4744"/>
    <w:rsid w:val="002A4A33"/>
    <w:rsid w:val="002A551D"/>
    <w:rsid w:val="002B0763"/>
    <w:rsid w:val="002B1C16"/>
    <w:rsid w:val="002B26A8"/>
    <w:rsid w:val="002B2DF9"/>
    <w:rsid w:val="002B7729"/>
    <w:rsid w:val="002C12CB"/>
    <w:rsid w:val="002C134B"/>
    <w:rsid w:val="002C2CC9"/>
    <w:rsid w:val="002C37BA"/>
    <w:rsid w:val="002C4D50"/>
    <w:rsid w:val="002C7318"/>
    <w:rsid w:val="002C7BAE"/>
    <w:rsid w:val="002D0FEE"/>
    <w:rsid w:val="002D12D8"/>
    <w:rsid w:val="002D20BE"/>
    <w:rsid w:val="002D28B7"/>
    <w:rsid w:val="002D3220"/>
    <w:rsid w:val="002E0958"/>
    <w:rsid w:val="002E2311"/>
    <w:rsid w:val="002E26BC"/>
    <w:rsid w:val="002E4AF9"/>
    <w:rsid w:val="002E5EF9"/>
    <w:rsid w:val="002E691E"/>
    <w:rsid w:val="002F0924"/>
    <w:rsid w:val="002F1574"/>
    <w:rsid w:val="002F587E"/>
    <w:rsid w:val="002F692E"/>
    <w:rsid w:val="0030026C"/>
    <w:rsid w:val="003029EF"/>
    <w:rsid w:val="00302D81"/>
    <w:rsid w:val="003037E4"/>
    <w:rsid w:val="0030422C"/>
    <w:rsid w:val="003045CC"/>
    <w:rsid w:val="003062A2"/>
    <w:rsid w:val="00306465"/>
    <w:rsid w:val="00306CCF"/>
    <w:rsid w:val="003079FE"/>
    <w:rsid w:val="00311979"/>
    <w:rsid w:val="0032045B"/>
    <w:rsid w:val="00323C74"/>
    <w:rsid w:val="00325CDE"/>
    <w:rsid w:val="00332655"/>
    <w:rsid w:val="0033273D"/>
    <w:rsid w:val="00334B8D"/>
    <w:rsid w:val="00335503"/>
    <w:rsid w:val="003411C7"/>
    <w:rsid w:val="00341B40"/>
    <w:rsid w:val="0034487B"/>
    <w:rsid w:val="00344D2C"/>
    <w:rsid w:val="003459E3"/>
    <w:rsid w:val="00350151"/>
    <w:rsid w:val="00350749"/>
    <w:rsid w:val="00351533"/>
    <w:rsid w:val="00351B75"/>
    <w:rsid w:val="00354796"/>
    <w:rsid w:val="00354A00"/>
    <w:rsid w:val="0035596B"/>
    <w:rsid w:val="003577B0"/>
    <w:rsid w:val="00360DAC"/>
    <w:rsid w:val="00362CF2"/>
    <w:rsid w:val="00364A5F"/>
    <w:rsid w:val="00370D75"/>
    <w:rsid w:val="0037238D"/>
    <w:rsid w:val="003754F3"/>
    <w:rsid w:val="00375F76"/>
    <w:rsid w:val="003772C4"/>
    <w:rsid w:val="0037756C"/>
    <w:rsid w:val="00383335"/>
    <w:rsid w:val="00384D1A"/>
    <w:rsid w:val="00386F6A"/>
    <w:rsid w:val="00390504"/>
    <w:rsid w:val="00391127"/>
    <w:rsid w:val="00391535"/>
    <w:rsid w:val="003924BB"/>
    <w:rsid w:val="003A4881"/>
    <w:rsid w:val="003A5A59"/>
    <w:rsid w:val="003B0F07"/>
    <w:rsid w:val="003B365D"/>
    <w:rsid w:val="003B402E"/>
    <w:rsid w:val="003B4D8A"/>
    <w:rsid w:val="003B5058"/>
    <w:rsid w:val="003B657D"/>
    <w:rsid w:val="003C03A6"/>
    <w:rsid w:val="003C0F8A"/>
    <w:rsid w:val="003C2414"/>
    <w:rsid w:val="003C2995"/>
    <w:rsid w:val="003C3E50"/>
    <w:rsid w:val="003C7547"/>
    <w:rsid w:val="003C7D52"/>
    <w:rsid w:val="003D23AE"/>
    <w:rsid w:val="003D2D2D"/>
    <w:rsid w:val="003D3C0F"/>
    <w:rsid w:val="003D5A00"/>
    <w:rsid w:val="003D7295"/>
    <w:rsid w:val="003D7386"/>
    <w:rsid w:val="003D7BA0"/>
    <w:rsid w:val="003E34F6"/>
    <w:rsid w:val="003F13CE"/>
    <w:rsid w:val="003F1C8B"/>
    <w:rsid w:val="003F3E78"/>
    <w:rsid w:val="003F4482"/>
    <w:rsid w:val="003F7029"/>
    <w:rsid w:val="00400B25"/>
    <w:rsid w:val="004017D3"/>
    <w:rsid w:val="004059DC"/>
    <w:rsid w:val="004123AA"/>
    <w:rsid w:val="004130BD"/>
    <w:rsid w:val="004155A7"/>
    <w:rsid w:val="00416F4E"/>
    <w:rsid w:val="0041728E"/>
    <w:rsid w:val="00422F8A"/>
    <w:rsid w:val="00425618"/>
    <w:rsid w:val="0042638A"/>
    <w:rsid w:val="00430072"/>
    <w:rsid w:val="00430B2B"/>
    <w:rsid w:val="00431B81"/>
    <w:rsid w:val="0043356E"/>
    <w:rsid w:val="0043458F"/>
    <w:rsid w:val="00435948"/>
    <w:rsid w:val="00435B5E"/>
    <w:rsid w:val="00435F32"/>
    <w:rsid w:val="00441B95"/>
    <w:rsid w:val="00442B25"/>
    <w:rsid w:val="00442DAC"/>
    <w:rsid w:val="0044690D"/>
    <w:rsid w:val="0044748F"/>
    <w:rsid w:val="00453290"/>
    <w:rsid w:val="00454905"/>
    <w:rsid w:val="00454EF3"/>
    <w:rsid w:val="00457FD5"/>
    <w:rsid w:val="00460288"/>
    <w:rsid w:val="004605B4"/>
    <w:rsid w:val="00461ABA"/>
    <w:rsid w:val="004622C1"/>
    <w:rsid w:val="004644D3"/>
    <w:rsid w:val="00470247"/>
    <w:rsid w:val="00471ABE"/>
    <w:rsid w:val="004740CF"/>
    <w:rsid w:val="00474F56"/>
    <w:rsid w:val="00476E07"/>
    <w:rsid w:val="00476EA2"/>
    <w:rsid w:val="00477003"/>
    <w:rsid w:val="004774EC"/>
    <w:rsid w:val="00481249"/>
    <w:rsid w:val="004831A7"/>
    <w:rsid w:val="0048443F"/>
    <w:rsid w:val="004857B7"/>
    <w:rsid w:val="00486D43"/>
    <w:rsid w:val="00491268"/>
    <w:rsid w:val="00492B7A"/>
    <w:rsid w:val="00493162"/>
    <w:rsid w:val="00494835"/>
    <w:rsid w:val="004954A2"/>
    <w:rsid w:val="00495800"/>
    <w:rsid w:val="004A1886"/>
    <w:rsid w:val="004A1C36"/>
    <w:rsid w:val="004A41C5"/>
    <w:rsid w:val="004A5C3C"/>
    <w:rsid w:val="004A5CF8"/>
    <w:rsid w:val="004A72FD"/>
    <w:rsid w:val="004A7B55"/>
    <w:rsid w:val="004B0E5B"/>
    <w:rsid w:val="004B38A9"/>
    <w:rsid w:val="004B3BB2"/>
    <w:rsid w:val="004B497A"/>
    <w:rsid w:val="004C0F64"/>
    <w:rsid w:val="004C107F"/>
    <w:rsid w:val="004C2E18"/>
    <w:rsid w:val="004C31A1"/>
    <w:rsid w:val="004C32AA"/>
    <w:rsid w:val="004C40A6"/>
    <w:rsid w:val="004D2153"/>
    <w:rsid w:val="004D2210"/>
    <w:rsid w:val="004D2740"/>
    <w:rsid w:val="004D2DA4"/>
    <w:rsid w:val="004D3644"/>
    <w:rsid w:val="004D43CC"/>
    <w:rsid w:val="004D4734"/>
    <w:rsid w:val="004D5A08"/>
    <w:rsid w:val="004E2988"/>
    <w:rsid w:val="004E2E10"/>
    <w:rsid w:val="004E4948"/>
    <w:rsid w:val="004F0236"/>
    <w:rsid w:val="004F373A"/>
    <w:rsid w:val="0050078E"/>
    <w:rsid w:val="005023EA"/>
    <w:rsid w:val="00507087"/>
    <w:rsid w:val="005163A4"/>
    <w:rsid w:val="00520EE9"/>
    <w:rsid w:val="005215B6"/>
    <w:rsid w:val="0052175D"/>
    <w:rsid w:val="00522A1F"/>
    <w:rsid w:val="0052322E"/>
    <w:rsid w:val="0052333B"/>
    <w:rsid w:val="00532C67"/>
    <w:rsid w:val="00533960"/>
    <w:rsid w:val="00536073"/>
    <w:rsid w:val="00536DC5"/>
    <w:rsid w:val="005401D3"/>
    <w:rsid w:val="00540B05"/>
    <w:rsid w:val="00542561"/>
    <w:rsid w:val="0054589F"/>
    <w:rsid w:val="00546DCA"/>
    <w:rsid w:val="005476A5"/>
    <w:rsid w:val="00551C58"/>
    <w:rsid w:val="00560EE1"/>
    <w:rsid w:val="00561A99"/>
    <w:rsid w:val="00562D83"/>
    <w:rsid w:val="00563E51"/>
    <w:rsid w:val="00567DAB"/>
    <w:rsid w:val="00570C5B"/>
    <w:rsid w:val="00571511"/>
    <w:rsid w:val="00571EB1"/>
    <w:rsid w:val="00572B6D"/>
    <w:rsid w:val="00572FAF"/>
    <w:rsid w:val="00575D79"/>
    <w:rsid w:val="0057606B"/>
    <w:rsid w:val="00577A90"/>
    <w:rsid w:val="005814B0"/>
    <w:rsid w:val="005841F3"/>
    <w:rsid w:val="005844AF"/>
    <w:rsid w:val="00584BB7"/>
    <w:rsid w:val="0058612A"/>
    <w:rsid w:val="00586A4E"/>
    <w:rsid w:val="00586AC0"/>
    <w:rsid w:val="00587E31"/>
    <w:rsid w:val="005905F5"/>
    <w:rsid w:val="00592606"/>
    <w:rsid w:val="0059369B"/>
    <w:rsid w:val="00595BF7"/>
    <w:rsid w:val="0059784B"/>
    <w:rsid w:val="00597CE4"/>
    <w:rsid w:val="005A08CF"/>
    <w:rsid w:val="005B27C0"/>
    <w:rsid w:val="005B3CDF"/>
    <w:rsid w:val="005B53BD"/>
    <w:rsid w:val="005B5AA3"/>
    <w:rsid w:val="005B67C5"/>
    <w:rsid w:val="005B6B4C"/>
    <w:rsid w:val="005B789F"/>
    <w:rsid w:val="005C0932"/>
    <w:rsid w:val="005C0E9F"/>
    <w:rsid w:val="005C36F4"/>
    <w:rsid w:val="005C5E70"/>
    <w:rsid w:val="005C7304"/>
    <w:rsid w:val="005D4D75"/>
    <w:rsid w:val="005D6397"/>
    <w:rsid w:val="005D6B27"/>
    <w:rsid w:val="005D7028"/>
    <w:rsid w:val="005D7BB5"/>
    <w:rsid w:val="005E3B76"/>
    <w:rsid w:val="005E4E8B"/>
    <w:rsid w:val="005E54E1"/>
    <w:rsid w:val="005E7587"/>
    <w:rsid w:val="005F3FB7"/>
    <w:rsid w:val="005F5C21"/>
    <w:rsid w:val="00600F17"/>
    <w:rsid w:val="00602BE5"/>
    <w:rsid w:val="00603333"/>
    <w:rsid w:val="00603B6E"/>
    <w:rsid w:val="006059D3"/>
    <w:rsid w:val="00605D80"/>
    <w:rsid w:val="006062D0"/>
    <w:rsid w:val="00606CB7"/>
    <w:rsid w:val="00612EA3"/>
    <w:rsid w:val="00613D1D"/>
    <w:rsid w:val="006158BD"/>
    <w:rsid w:val="0061760B"/>
    <w:rsid w:val="0061794F"/>
    <w:rsid w:val="00623740"/>
    <w:rsid w:val="006244BC"/>
    <w:rsid w:val="006258CE"/>
    <w:rsid w:val="006265EC"/>
    <w:rsid w:val="006266D0"/>
    <w:rsid w:val="00626AAA"/>
    <w:rsid w:val="00626C86"/>
    <w:rsid w:val="00631971"/>
    <w:rsid w:val="00637458"/>
    <w:rsid w:val="00637BD7"/>
    <w:rsid w:val="006428CD"/>
    <w:rsid w:val="00643927"/>
    <w:rsid w:val="00643E0F"/>
    <w:rsid w:val="006476A3"/>
    <w:rsid w:val="0064789A"/>
    <w:rsid w:val="00650A07"/>
    <w:rsid w:val="006553A0"/>
    <w:rsid w:val="006565A0"/>
    <w:rsid w:val="0065703A"/>
    <w:rsid w:val="0065771D"/>
    <w:rsid w:val="0066005B"/>
    <w:rsid w:val="00660C2C"/>
    <w:rsid w:val="00660C4B"/>
    <w:rsid w:val="00660F8C"/>
    <w:rsid w:val="00663586"/>
    <w:rsid w:val="00664CA0"/>
    <w:rsid w:val="00664D19"/>
    <w:rsid w:val="00665AD3"/>
    <w:rsid w:val="0066728D"/>
    <w:rsid w:val="00674846"/>
    <w:rsid w:val="00680242"/>
    <w:rsid w:val="00680A5E"/>
    <w:rsid w:val="00680B8E"/>
    <w:rsid w:val="00681B15"/>
    <w:rsid w:val="00684617"/>
    <w:rsid w:val="0068485F"/>
    <w:rsid w:val="00684CD4"/>
    <w:rsid w:val="00686808"/>
    <w:rsid w:val="006933DC"/>
    <w:rsid w:val="00694153"/>
    <w:rsid w:val="00695570"/>
    <w:rsid w:val="00696C7A"/>
    <w:rsid w:val="006A1144"/>
    <w:rsid w:val="006A33BD"/>
    <w:rsid w:val="006A3AF3"/>
    <w:rsid w:val="006A4D1E"/>
    <w:rsid w:val="006A5347"/>
    <w:rsid w:val="006B0183"/>
    <w:rsid w:val="006B0EB5"/>
    <w:rsid w:val="006B255D"/>
    <w:rsid w:val="006B77BA"/>
    <w:rsid w:val="006B7B39"/>
    <w:rsid w:val="006C1028"/>
    <w:rsid w:val="006C49A3"/>
    <w:rsid w:val="006C5E06"/>
    <w:rsid w:val="006D0513"/>
    <w:rsid w:val="006D059F"/>
    <w:rsid w:val="006D2B1A"/>
    <w:rsid w:val="006D6596"/>
    <w:rsid w:val="006D7DD8"/>
    <w:rsid w:val="006E004F"/>
    <w:rsid w:val="006E2F8D"/>
    <w:rsid w:val="006E3B7E"/>
    <w:rsid w:val="006E3C29"/>
    <w:rsid w:val="006E6B1E"/>
    <w:rsid w:val="006E6F63"/>
    <w:rsid w:val="006E74BE"/>
    <w:rsid w:val="006F062D"/>
    <w:rsid w:val="006F128E"/>
    <w:rsid w:val="006F356C"/>
    <w:rsid w:val="006F3F73"/>
    <w:rsid w:val="006F44DB"/>
    <w:rsid w:val="006F5D74"/>
    <w:rsid w:val="006F7DAE"/>
    <w:rsid w:val="00700607"/>
    <w:rsid w:val="00701B9F"/>
    <w:rsid w:val="00705B91"/>
    <w:rsid w:val="00710218"/>
    <w:rsid w:val="00710A27"/>
    <w:rsid w:val="0071387E"/>
    <w:rsid w:val="007138CC"/>
    <w:rsid w:val="00713B6E"/>
    <w:rsid w:val="00713BE3"/>
    <w:rsid w:val="00720CA6"/>
    <w:rsid w:val="00723AB1"/>
    <w:rsid w:val="00724941"/>
    <w:rsid w:val="00731D40"/>
    <w:rsid w:val="0073286E"/>
    <w:rsid w:val="00732DF4"/>
    <w:rsid w:val="0073599D"/>
    <w:rsid w:val="00740DEE"/>
    <w:rsid w:val="007444CC"/>
    <w:rsid w:val="0075005C"/>
    <w:rsid w:val="007518B6"/>
    <w:rsid w:val="00751A77"/>
    <w:rsid w:val="00751BED"/>
    <w:rsid w:val="007541FF"/>
    <w:rsid w:val="007575DD"/>
    <w:rsid w:val="0075761B"/>
    <w:rsid w:val="00760C04"/>
    <w:rsid w:val="00762397"/>
    <w:rsid w:val="00762F8C"/>
    <w:rsid w:val="0076606F"/>
    <w:rsid w:val="007724BB"/>
    <w:rsid w:val="00775C37"/>
    <w:rsid w:val="00776C1B"/>
    <w:rsid w:val="00776F22"/>
    <w:rsid w:val="007775EA"/>
    <w:rsid w:val="00782424"/>
    <w:rsid w:val="00784AFD"/>
    <w:rsid w:val="00790616"/>
    <w:rsid w:val="00792D2D"/>
    <w:rsid w:val="00796655"/>
    <w:rsid w:val="007A2F9A"/>
    <w:rsid w:val="007A6B50"/>
    <w:rsid w:val="007A7F6A"/>
    <w:rsid w:val="007B0304"/>
    <w:rsid w:val="007B2278"/>
    <w:rsid w:val="007C0F12"/>
    <w:rsid w:val="007C2249"/>
    <w:rsid w:val="007C4025"/>
    <w:rsid w:val="007C4D08"/>
    <w:rsid w:val="007C6794"/>
    <w:rsid w:val="007C6C50"/>
    <w:rsid w:val="007C75B0"/>
    <w:rsid w:val="007D0B33"/>
    <w:rsid w:val="007D2329"/>
    <w:rsid w:val="007D4369"/>
    <w:rsid w:val="007D5473"/>
    <w:rsid w:val="007D6645"/>
    <w:rsid w:val="007D72A2"/>
    <w:rsid w:val="007E36F6"/>
    <w:rsid w:val="007E5424"/>
    <w:rsid w:val="007E5E4E"/>
    <w:rsid w:val="007F16A6"/>
    <w:rsid w:val="007F7E38"/>
    <w:rsid w:val="00803EF5"/>
    <w:rsid w:val="00812643"/>
    <w:rsid w:val="00812C27"/>
    <w:rsid w:val="00813FF6"/>
    <w:rsid w:val="00814552"/>
    <w:rsid w:val="00817E02"/>
    <w:rsid w:val="0082044D"/>
    <w:rsid w:val="008223AA"/>
    <w:rsid w:val="00825E7D"/>
    <w:rsid w:val="00826F82"/>
    <w:rsid w:val="00827B7B"/>
    <w:rsid w:val="00830BC0"/>
    <w:rsid w:val="0083106F"/>
    <w:rsid w:val="00831933"/>
    <w:rsid w:val="008321A1"/>
    <w:rsid w:val="00832C5E"/>
    <w:rsid w:val="00832F62"/>
    <w:rsid w:val="00834EB7"/>
    <w:rsid w:val="00835BDD"/>
    <w:rsid w:val="008378D9"/>
    <w:rsid w:val="00837F05"/>
    <w:rsid w:val="00840C1E"/>
    <w:rsid w:val="00841D26"/>
    <w:rsid w:val="00843C2E"/>
    <w:rsid w:val="00843CE3"/>
    <w:rsid w:val="0084528B"/>
    <w:rsid w:val="0085111E"/>
    <w:rsid w:val="008530B4"/>
    <w:rsid w:val="00854DC2"/>
    <w:rsid w:val="00856F3D"/>
    <w:rsid w:val="0085743A"/>
    <w:rsid w:val="008577BB"/>
    <w:rsid w:val="008618ED"/>
    <w:rsid w:val="00863507"/>
    <w:rsid w:val="0086433D"/>
    <w:rsid w:val="00864442"/>
    <w:rsid w:val="00871508"/>
    <w:rsid w:val="008715B0"/>
    <w:rsid w:val="00873A4F"/>
    <w:rsid w:val="00873A58"/>
    <w:rsid w:val="00873F3A"/>
    <w:rsid w:val="00880E61"/>
    <w:rsid w:val="00885880"/>
    <w:rsid w:val="0088703C"/>
    <w:rsid w:val="0089207D"/>
    <w:rsid w:val="0089383B"/>
    <w:rsid w:val="00894012"/>
    <w:rsid w:val="00894878"/>
    <w:rsid w:val="00895ADE"/>
    <w:rsid w:val="00897CA2"/>
    <w:rsid w:val="008A2D36"/>
    <w:rsid w:val="008A3CFA"/>
    <w:rsid w:val="008A4CE0"/>
    <w:rsid w:val="008A5F84"/>
    <w:rsid w:val="008A7E0A"/>
    <w:rsid w:val="008A7F47"/>
    <w:rsid w:val="008B076F"/>
    <w:rsid w:val="008B2504"/>
    <w:rsid w:val="008B58E6"/>
    <w:rsid w:val="008B6D11"/>
    <w:rsid w:val="008C26D9"/>
    <w:rsid w:val="008C3817"/>
    <w:rsid w:val="008C4461"/>
    <w:rsid w:val="008C5020"/>
    <w:rsid w:val="008C5190"/>
    <w:rsid w:val="008C539C"/>
    <w:rsid w:val="008D283F"/>
    <w:rsid w:val="008D3A6E"/>
    <w:rsid w:val="008D429B"/>
    <w:rsid w:val="008E05C0"/>
    <w:rsid w:val="008E199E"/>
    <w:rsid w:val="008E4DE2"/>
    <w:rsid w:val="008F13CC"/>
    <w:rsid w:val="008F1F48"/>
    <w:rsid w:val="008F308A"/>
    <w:rsid w:val="008F6259"/>
    <w:rsid w:val="0090140F"/>
    <w:rsid w:val="00905669"/>
    <w:rsid w:val="00906517"/>
    <w:rsid w:val="00907124"/>
    <w:rsid w:val="00914AA6"/>
    <w:rsid w:val="009237F2"/>
    <w:rsid w:val="0092622C"/>
    <w:rsid w:val="00926B4A"/>
    <w:rsid w:val="00933AC0"/>
    <w:rsid w:val="00943C98"/>
    <w:rsid w:val="00943E5E"/>
    <w:rsid w:val="00945476"/>
    <w:rsid w:val="00945D5E"/>
    <w:rsid w:val="00945FD1"/>
    <w:rsid w:val="00947549"/>
    <w:rsid w:val="00950E2A"/>
    <w:rsid w:val="00951A3C"/>
    <w:rsid w:val="009521AE"/>
    <w:rsid w:val="009548DC"/>
    <w:rsid w:val="00954F60"/>
    <w:rsid w:val="00955236"/>
    <w:rsid w:val="0095685A"/>
    <w:rsid w:val="00961812"/>
    <w:rsid w:val="009618AA"/>
    <w:rsid w:val="00964DA5"/>
    <w:rsid w:val="00966588"/>
    <w:rsid w:val="009733B1"/>
    <w:rsid w:val="009749B5"/>
    <w:rsid w:val="00974C49"/>
    <w:rsid w:val="0097570A"/>
    <w:rsid w:val="00980178"/>
    <w:rsid w:val="009804BC"/>
    <w:rsid w:val="00981813"/>
    <w:rsid w:val="00983536"/>
    <w:rsid w:val="00986C56"/>
    <w:rsid w:val="009905E0"/>
    <w:rsid w:val="00991765"/>
    <w:rsid w:val="009924D5"/>
    <w:rsid w:val="00995012"/>
    <w:rsid w:val="009955CB"/>
    <w:rsid w:val="00996056"/>
    <w:rsid w:val="009964CB"/>
    <w:rsid w:val="009A097A"/>
    <w:rsid w:val="009A142E"/>
    <w:rsid w:val="009A24E6"/>
    <w:rsid w:val="009A3AFF"/>
    <w:rsid w:val="009A4555"/>
    <w:rsid w:val="009A4FF5"/>
    <w:rsid w:val="009A710D"/>
    <w:rsid w:val="009B0A19"/>
    <w:rsid w:val="009B0C66"/>
    <w:rsid w:val="009B61D9"/>
    <w:rsid w:val="009C19E1"/>
    <w:rsid w:val="009C1BD2"/>
    <w:rsid w:val="009C5F60"/>
    <w:rsid w:val="009D0270"/>
    <w:rsid w:val="009D0E55"/>
    <w:rsid w:val="009D25F7"/>
    <w:rsid w:val="009D5072"/>
    <w:rsid w:val="009E0370"/>
    <w:rsid w:val="009E17C7"/>
    <w:rsid w:val="009E366D"/>
    <w:rsid w:val="009E48F3"/>
    <w:rsid w:val="009E6921"/>
    <w:rsid w:val="009F058C"/>
    <w:rsid w:val="009F3CC4"/>
    <w:rsid w:val="009F70DF"/>
    <w:rsid w:val="00A04DC9"/>
    <w:rsid w:val="00A04EC7"/>
    <w:rsid w:val="00A129A4"/>
    <w:rsid w:val="00A14901"/>
    <w:rsid w:val="00A15337"/>
    <w:rsid w:val="00A16124"/>
    <w:rsid w:val="00A20305"/>
    <w:rsid w:val="00A215AB"/>
    <w:rsid w:val="00A22B9A"/>
    <w:rsid w:val="00A3075D"/>
    <w:rsid w:val="00A307A9"/>
    <w:rsid w:val="00A30E6A"/>
    <w:rsid w:val="00A33EA7"/>
    <w:rsid w:val="00A34E5B"/>
    <w:rsid w:val="00A35471"/>
    <w:rsid w:val="00A35B35"/>
    <w:rsid w:val="00A35DD0"/>
    <w:rsid w:val="00A40B1A"/>
    <w:rsid w:val="00A42D5C"/>
    <w:rsid w:val="00A4308C"/>
    <w:rsid w:val="00A444E3"/>
    <w:rsid w:val="00A617DA"/>
    <w:rsid w:val="00A64064"/>
    <w:rsid w:val="00A706CA"/>
    <w:rsid w:val="00A71380"/>
    <w:rsid w:val="00A74272"/>
    <w:rsid w:val="00A74671"/>
    <w:rsid w:val="00A77916"/>
    <w:rsid w:val="00A77A59"/>
    <w:rsid w:val="00A80199"/>
    <w:rsid w:val="00A808B2"/>
    <w:rsid w:val="00A81C22"/>
    <w:rsid w:val="00A827D5"/>
    <w:rsid w:val="00A92F11"/>
    <w:rsid w:val="00A93081"/>
    <w:rsid w:val="00A94B03"/>
    <w:rsid w:val="00A974EF"/>
    <w:rsid w:val="00AA0493"/>
    <w:rsid w:val="00AA05C4"/>
    <w:rsid w:val="00AA1833"/>
    <w:rsid w:val="00AA3E55"/>
    <w:rsid w:val="00AA4F48"/>
    <w:rsid w:val="00AA5C2A"/>
    <w:rsid w:val="00AA705A"/>
    <w:rsid w:val="00AB060D"/>
    <w:rsid w:val="00AB103C"/>
    <w:rsid w:val="00AB2890"/>
    <w:rsid w:val="00AB46D6"/>
    <w:rsid w:val="00AB4AB2"/>
    <w:rsid w:val="00AB5E60"/>
    <w:rsid w:val="00AB6BC3"/>
    <w:rsid w:val="00AB6EF4"/>
    <w:rsid w:val="00AC0A57"/>
    <w:rsid w:val="00AC1E8F"/>
    <w:rsid w:val="00AC3405"/>
    <w:rsid w:val="00AC4267"/>
    <w:rsid w:val="00AC6A24"/>
    <w:rsid w:val="00AC7197"/>
    <w:rsid w:val="00AC76D7"/>
    <w:rsid w:val="00AD06E9"/>
    <w:rsid w:val="00AD0BBB"/>
    <w:rsid w:val="00AD2B6C"/>
    <w:rsid w:val="00AD316C"/>
    <w:rsid w:val="00AD6959"/>
    <w:rsid w:val="00AE177F"/>
    <w:rsid w:val="00AE2DAF"/>
    <w:rsid w:val="00AE4C49"/>
    <w:rsid w:val="00AF1488"/>
    <w:rsid w:val="00AF18DD"/>
    <w:rsid w:val="00AF2B6C"/>
    <w:rsid w:val="00AF39C1"/>
    <w:rsid w:val="00AF40F5"/>
    <w:rsid w:val="00AF6092"/>
    <w:rsid w:val="00AF6C20"/>
    <w:rsid w:val="00AF78A2"/>
    <w:rsid w:val="00B0111B"/>
    <w:rsid w:val="00B0296E"/>
    <w:rsid w:val="00B0470C"/>
    <w:rsid w:val="00B05785"/>
    <w:rsid w:val="00B067CC"/>
    <w:rsid w:val="00B07CF1"/>
    <w:rsid w:val="00B14065"/>
    <w:rsid w:val="00B1544E"/>
    <w:rsid w:val="00B157C9"/>
    <w:rsid w:val="00B170ED"/>
    <w:rsid w:val="00B21C14"/>
    <w:rsid w:val="00B22090"/>
    <w:rsid w:val="00B220A7"/>
    <w:rsid w:val="00B221CD"/>
    <w:rsid w:val="00B230BE"/>
    <w:rsid w:val="00B23B3F"/>
    <w:rsid w:val="00B27D0D"/>
    <w:rsid w:val="00B3040D"/>
    <w:rsid w:val="00B321C0"/>
    <w:rsid w:val="00B34526"/>
    <w:rsid w:val="00B3482F"/>
    <w:rsid w:val="00B36841"/>
    <w:rsid w:val="00B44CC9"/>
    <w:rsid w:val="00B47AAB"/>
    <w:rsid w:val="00B52D22"/>
    <w:rsid w:val="00B56417"/>
    <w:rsid w:val="00B62E88"/>
    <w:rsid w:val="00B6635C"/>
    <w:rsid w:val="00B669EC"/>
    <w:rsid w:val="00B7078C"/>
    <w:rsid w:val="00B73458"/>
    <w:rsid w:val="00B73849"/>
    <w:rsid w:val="00B73C8C"/>
    <w:rsid w:val="00B748C4"/>
    <w:rsid w:val="00B75BFD"/>
    <w:rsid w:val="00B75F43"/>
    <w:rsid w:val="00B77561"/>
    <w:rsid w:val="00B8058F"/>
    <w:rsid w:val="00B81A01"/>
    <w:rsid w:val="00B82862"/>
    <w:rsid w:val="00B83310"/>
    <w:rsid w:val="00B839FA"/>
    <w:rsid w:val="00B84E46"/>
    <w:rsid w:val="00B86D25"/>
    <w:rsid w:val="00B875B1"/>
    <w:rsid w:val="00B8770B"/>
    <w:rsid w:val="00B90416"/>
    <w:rsid w:val="00B92A1C"/>
    <w:rsid w:val="00B92B96"/>
    <w:rsid w:val="00B93A7E"/>
    <w:rsid w:val="00B94B9E"/>
    <w:rsid w:val="00B94DB6"/>
    <w:rsid w:val="00B95003"/>
    <w:rsid w:val="00B96891"/>
    <w:rsid w:val="00B976A0"/>
    <w:rsid w:val="00BA10AF"/>
    <w:rsid w:val="00BA51EF"/>
    <w:rsid w:val="00BB1B92"/>
    <w:rsid w:val="00BB34E2"/>
    <w:rsid w:val="00BB56B5"/>
    <w:rsid w:val="00BC2011"/>
    <w:rsid w:val="00BC3559"/>
    <w:rsid w:val="00BC3ED0"/>
    <w:rsid w:val="00BC53F2"/>
    <w:rsid w:val="00BC70F0"/>
    <w:rsid w:val="00BD0CA8"/>
    <w:rsid w:val="00BD4657"/>
    <w:rsid w:val="00BD58D0"/>
    <w:rsid w:val="00BD5F58"/>
    <w:rsid w:val="00BD7C2B"/>
    <w:rsid w:val="00BE13E7"/>
    <w:rsid w:val="00BE39B6"/>
    <w:rsid w:val="00BE5961"/>
    <w:rsid w:val="00BE5C00"/>
    <w:rsid w:val="00BE7324"/>
    <w:rsid w:val="00BE7BE7"/>
    <w:rsid w:val="00C00DFB"/>
    <w:rsid w:val="00C0249C"/>
    <w:rsid w:val="00C03017"/>
    <w:rsid w:val="00C03E57"/>
    <w:rsid w:val="00C07F45"/>
    <w:rsid w:val="00C13145"/>
    <w:rsid w:val="00C14DAC"/>
    <w:rsid w:val="00C2422D"/>
    <w:rsid w:val="00C24F5A"/>
    <w:rsid w:val="00C276A9"/>
    <w:rsid w:val="00C305D0"/>
    <w:rsid w:val="00C33329"/>
    <w:rsid w:val="00C372E5"/>
    <w:rsid w:val="00C37AF0"/>
    <w:rsid w:val="00C37F69"/>
    <w:rsid w:val="00C40D1D"/>
    <w:rsid w:val="00C47FC1"/>
    <w:rsid w:val="00C50789"/>
    <w:rsid w:val="00C51DFE"/>
    <w:rsid w:val="00C530B3"/>
    <w:rsid w:val="00C5512D"/>
    <w:rsid w:val="00C55169"/>
    <w:rsid w:val="00C56A1F"/>
    <w:rsid w:val="00C62583"/>
    <w:rsid w:val="00C62F83"/>
    <w:rsid w:val="00C64AF6"/>
    <w:rsid w:val="00C65303"/>
    <w:rsid w:val="00C657C1"/>
    <w:rsid w:val="00C67490"/>
    <w:rsid w:val="00C67F6E"/>
    <w:rsid w:val="00C702B9"/>
    <w:rsid w:val="00C71786"/>
    <w:rsid w:val="00C73636"/>
    <w:rsid w:val="00C76CBA"/>
    <w:rsid w:val="00C80EB5"/>
    <w:rsid w:val="00C838BC"/>
    <w:rsid w:val="00C83A2D"/>
    <w:rsid w:val="00C85739"/>
    <w:rsid w:val="00C870B3"/>
    <w:rsid w:val="00C87287"/>
    <w:rsid w:val="00C90E08"/>
    <w:rsid w:val="00C913E3"/>
    <w:rsid w:val="00C91566"/>
    <w:rsid w:val="00CA1112"/>
    <w:rsid w:val="00CA3514"/>
    <w:rsid w:val="00CA615A"/>
    <w:rsid w:val="00CA68EA"/>
    <w:rsid w:val="00CB1297"/>
    <w:rsid w:val="00CB2537"/>
    <w:rsid w:val="00CB4A44"/>
    <w:rsid w:val="00CB683B"/>
    <w:rsid w:val="00CC22C9"/>
    <w:rsid w:val="00CC32BD"/>
    <w:rsid w:val="00CC3AFB"/>
    <w:rsid w:val="00CC42CD"/>
    <w:rsid w:val="00CD1A87"/>
    <w:rsid w:val="00CD726F"/>
    <w:rsid w:val="00CE0C3D"/>
    <w:rsid w:val="00CE116C"/>
    <w:rsid w:val="00CE50E8"/>
    <w:rsid w:val="00CE64F5"/>
    <w:rsid w:val="00CF0548"/>
    <w:rsid w:val="00CF3447"/>
    <w:rsid w:val="00CF36F0"/>
    <w:rsid w:val="00CF3A35"/>
    <w:rsid w:val="00CF53C0"/>
    <w:rsid w:val="00CF77BA"/>
    <w:rsid w:val="00D0003C"/>
    <w:rsid w:val="00D056EB"/>
    <w:rsid w:val="00D05DF3"/>
    <w:rsid w:val="00D07041"/>
    <w:rsid w:val="00D1002C"/>
    <w:rsid w:val="00D12EA5"/>
    <w:rsid w:val="00D1495D"/>
    <w:rsid w:val="00D1732C"/>
    <w:rsid w:val="00D20B08"/>
    <w:rsid w:val="00D21DF1"/>
    <w:rsid w:val="00D237EC"/>
    <w:rsid w:val="00D23DE9"/>
    <w:rsid w:val="00D27C81"/>
    <w:rsid w:val="00D36005"/>
    <w:rsid w:val="00D429A6"/>
    <w:rsid w:val="00D42E34"/>
    <w:rsid w:val="00D44347"/>
    <w:rsid w:val="00D448B3"/>
    <w:rsid w:val="00D45756"/>
    <w:rsid w:val="00D46686"/>
    <w:rsid w:val="00D474E6"/>
    <w:rsid w:val="00D47B07"/>
    <w:rsid w:val="00D5084A"/>
    <w:rsid w:val="00D50940"/>
    <w:rsid w:val="00D53B73"/>
    <w:rsid w:val="00D562DC"/>
    <w:rsid w:val="00D56AB3"/>
    <w:rsid w:val="00D577B9"/>
    <w:rsid w:val="00D63149"/>
    <w:rsid w:val="00D63D08"/>
    <w:rsid w:val="00D64D57"/>
    <w:rsid w:val="00D651B2"/>
    <w:rsid w:val="00D7293C"/>
    <w:rsid w:val="00D72B75"/>
    <w:rsid w:val="00D73B6C"/>
    <w:rsid w:val="00D800B6"/>
    <w:rsid w:val="00D8047C"/>
    <w:rsid w:val="00D806F2"/>
    <w:rsid w:val="00D82BFE"/>
    <w:rsid w:val="00D83C31"/>
    <w:rsid w:val="00D86CAE"/>
    <w:rsid w:val="00D90099"/>
    <w:rsid w:val="00D9190F"/>
    <w:rsid w:val="00D943D7"/>
    <w:rsid w:val="00D94AFA"/>
    <w:rsid w:val="00D97AFA"/>
    <w:rsid w:val="00D97E90"/>
    <w:rsid w:val="00DA55E6"/>
    <w:rsid w:val="00DA5F00"/>
    <w:rsid w:val="00DB0B68"/>
    <w:rsid w:val="00DB4E1D"/>
    <w:rsid w:val="00DB5259"/>
    <w:rsid w:val="00DB5D02"/>
    <w:rsid w:val="00DB6FC8"/>
    <w:rsid w:val="00DC235F"/>
    <w:rsid w:val="00DC360A"/>
    <w:rsid w:val="00DC3706"/>
    <w:rsid w:val="00DC3F90"/>
    <w:rsid w:val="00DD1510"/>
    <w:rsid w:val="00DD2976"/>
    <w:rsid w:val="00DD37A0"/>
    <w:rsid w:val="00DD4A45"/>
    <w:rsid w:val="00DD63B7"/>
    <w:rsid w:val="00DD6688"/>
    <w:rsid w:val="00DD671E"/>
    <w:rsid w:val="00DD6862"/>
    <w:rsid w:val="00DE1506"/>
    <w:rsid w:val="00DE2607"/>
    <w:rsid w:val="00DE3163"/>
    <w:rsid w:val="00DE35D5"/>
    <w:rsid w:val="00DE45F1"/>
    <w:rsid w:val="00DE511D"/>
    <w:rsid w:val="00DE58F7"/>
    <w:rsid w:val="00DF00D6"/>
    <w:rsid w:val="00DF069E"/>
    <w:rsid w:val="00DF0E49"/>
    <w:rsid w:val="00DF2630"/>
    <w:rsid w:val="00DF2D0D"/>
    <w:rsid w:val="00DF3A3B"/>
    <w:rsid w:val="00DF3DF5"/>
    <w:rsid w:val="00DF79EB"/>
    <w:rsid w:val="00E00158"/>
    <w:rsid w:val="00E00B86"/>
    <w:rsid w:val="00E03305"/>
    <w:rsid w:val="00E0471F"/>
    <w:rsid w:val="00E05375"/>
    <w:rsid w:val="00E0607B"/>
    <w:rsid w:val="00E070F2"/>
    <w:rsid w:val="00E07968"/>
    <w:rsid w:val="00E1011A"/>
    <w:rsid w:val="00E10652"/>
    <w:rsid w:val="00E12977"/>
    <w:rsid w:val="00E1432A"/>
    <w:rsid w:val="00E1592C"/>
    <w:rsid w:val="00E15A66"/>
    <w:rsid w:val="00E15D3B"/>
    <w:rsid w:val="00E17F67"/>
    <w:rsid w:val="00E21F2E"/>
    <w:rsid w:val="00E35602"/>
    <w:rsid w:val="00E35C79"/>
    <w:rsid w:val="00E40F8F"/>
    <w:rsid w:val="00E41432"/>
    <w:rsid w:val="00E428A0"/>
    <w:rsid w:val="00E42C99"/>
    <w:rsid w:val="00E45F4E"/>
    <w:rsid w:val="00E56133"/>
    <w:rsid w:val="00E61507"/>
    <w:rsid w:val="00E63F1D"/>
    <w:rsid w:val="00E66B5A"/>
    <w:rsid w:val="00E701E5"/>
    <w:rsid w:val="00E74174"/>
    <w:rsid w:val="00E74501"/>
    <w:rsid w:val="00E746B9"/>
    <w:rsid w:val="00E76337"/>
    <w:rsid w:val="00E8562C"/>
    <w:rsid w:val="00E92797"/>
    <w:rsid w:val="00E9285C"/>
    <w:rsid w:val="00E9400F"/>
    <w:rsid w:val="00EA0123"/>
    <w:rsid w:val="00EA28BA"/>
    <w:rsid w:val="00EB6E34"/>
    <w:rsid w:val="00EB6F75"/>
    <w:rsid w:val="00EC1536"/>
    <w:rsid w:val="00EC432D"/>
    <w:rsid w:val="00EC48EA"/>
    <w:rsid w:val="00EC7FC2"/>
    <w:rsid w:val="00ED1E61"/>
    <w:rsid w:val="00ED282C"/>
    <w:rsid w:val="00ED5AEE"/>
    <w:rsid w:val="00ED623F"/>
    <w:rsid w:val="00ED63C9"/>
    <w:rsid w:val="00ED6BB7"/>
    <w:rsid w:val="00ED7C13"/>
    <w:rsid w:val="00EE0783"/>
    <w:rsid w:val="00EE35BB"/>
    <w:rsid w:val="00EE48F4"/>
    <w:rsid w:val="00EE65BA"/>
    <w:rsid w:val="00EF2C81"/>
    <w:rsid w:val="00EF3EA2"/>
    <w:rsid w:val="00EF3EEF"/>
    <w:rsid w:val="00EF43DC"/>
    <w:rsid w:val="00EF6027"/>
    <w:rsid w:val="00EF667B"/>
    <w:rsid w:val="00F001DF"/>
    <w:rsid w:val="00F00678"/>
    <w:rsid w:val="00F05F51"/>
    <w:rsid w:val="00F07F52"/>
    <w:rsid w:val="00F12634"/>
    <w:rsid w:val="00F12AE3"/>
    <w:rsid w:val="00F13E66"/>
    <w:rsid w:val="00F154A4"/>
    <w:rsid w:val="00F156C3"/>
    <w:rsid w:val="00F24D92"/>
    <w:rsid w:val="00F2665D"/>
    <w:rsid w:val="00F3064D"/>
    <w:rsid w:val="00F37C6F"/>
    <w:rsid w:val="00F41CBC"/>
    <w:rsid w:val="00F437D1"/>
    <w:rsid w:val="00F46108"/>
    <w:rsid w:val="00F5049B"/>
    <w:rsid w:val="00F52D07"/>
    <w:rsid w:val="00F53094"/>
    <w:rsid w:val="00F5649F"/>
    <w:rsid w:val="00F56F0A"/>
    <w:rsid w:val="00F57C5A"/>
    <w:rsid w:val="00F621BC"/>
    <w:rsid w:val="00F62646"/>
    <w:rsid w:val="00F62B16"/>
    <w:rsid w:val="00F650BC"/>
    <w:rsid w:val="00F705D3"/>
    <w:rsid w:val="00F7139E"/>
    <w:rsid w:val="00F71A5A"/>
    <w:rsid w:val="00F725B9"/>
    <w:rsid w:val="00F72973"/>
    <w:rsid w:val="00F7415F"/>
    <w:rsid w:val="00F75CD6"/>
    <w:rsid w:val="00F81933"/>
    <w:rsid w:val="00F8311F"/>
    <w:rsid w:val="00F85196"/>
    <w:rsid w:val="00F8796D"/>
    <w:rsid w:val="00F87C49"/>
    <w:rsid w:val="00F87F94"/>
    <w:rsid w:val="00F912E1"/>
    <w:rsid w:val="00F94C5F"/>
    <w:rsid w:val="00F9516A"/>
    <w:rsid w:val="00F95CC5"/>
    <w:rsid w:val="00FA05EC"/>
    <w:rsid w:val="00FA19CB"/>
    <w:rsid w:val="00FA7B81"/>
    <w:rsid w:val="00FB63E2"/>
    <w:rsid w:val="00FB6EB7"/>
    <w:rsid w:val="00FB7429"/>
    <w:rsid w:val="00FC0A39"/>
    <w:rsid w:val="00FC546B"/>
    <w:rsid w:val="00FC5C04"/>
    <w:rsid w:val="00FC64A9"/>
    <w:rsid w:val="00FD0E8A"/>
    <w:rsid w:val="00FD2ADA"/>
    <w:rsid w:val="00FD3465"/>
    <w:rsid w:val="00FD481B"/>
    <w:rsid w:val="00FD72AF"/>
    <w:rsid w:val="00FE1174"/>
    <w:rsid w:val="00FE2B55"/>
    <w:rsid w:val="00FE3982"/>
    <w:rsid w:val="00FE5663"/>
    <w:rsid w:val="00FE575A"/>
    <w:rsid w:val="00FE7F69"/>
    <w:rsid w:val="00FF01E8"/>
    <w:rsid w:val="00FF0A5B"/>
    <w:rsid w:val="00FF136C"/>
    <w:rsid w:val="00FF1964"/>
    <w:rsid w:val="00FF1C7C"/>
    <w:rsid w:val="00FF6A3C"/>
    <w:rsid w:val="726B37A6"/>
    <w:rsid w:val="778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0BC3-0177-4634-B960-CCE697B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eastAsiaTheme="minorEastAsia" w:hAnsi="Consolas" w:cstheme="minorBidi"/>
      <w:sz w:val="20"/>
      <w:szCs w:val="20"/>
      <w:lang w:eastAsia="uk-UA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Normal (Web)"/>
    <w:basedOn w:val="a"/>
    <w:link w:val="ac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d">
    <w:name w:val="Plain Text"/>
    <w:basedOn w:val="a"/>
    <w:link w:val="ae"/>
    <w:uiPriority w:val="99"/>
    <w:pPr>
      <w:spacing w:after="0" w:line="240" w:lineRule="auto"/>
    </w:pPr>
    <w:rPr>
      <w:rFonts w:ascii="Courier New" w:eastAsia="Times New Roman" w:hAnsi="Courier New"/>
      <w:sz w:val="20"/>
      <w:szCs w:val="20"/>
      <w:lang w:val="zh-CN" w:eastAsia="ru-RU"/>
    </w:rPr>
  </w:style>
  <w:style w:type="table" w:styleId="af">
    <w:name w:val="Table Grid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rvps21">
    <w:name w:val="rvps21"/>
    <w:basedOn w:val="a"/>
    <w:pPr>
      <w:spacing w:after="125" w:line="240" w:lineRule="auto"/>
      <w:ind w:firstLine="3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uk-UA"/>
    </w:rPr>
  </w:style>
  <w:style w:type="character" w:customStyle="1" w:styleId="rvts48">
    <w:name w:val="rvts48"/>
    <w:basedOn w:val="a0"/>
  </w:style>
  <w:style w:type="character" w:customStyle="1" w:styleId="rvts44">
    <w:name w:val="rvts44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Текст Знак"/>
    <w:basedOn w:val="a0"/>
    <w:link w:val="ad"/>
    <w:uiPriority w:val="99"/>
    <w:rPr>
      <w:rFonts w:ascii="Courier New" w:eastAsia="Times New Roman" w:hAnsi="Courier New" w:cs="Times New Roman"/>
      <w:sz w:val="20"/>
      <w:szCs w:val="20"/>
      <w:lang w:val="zh-CN" w:eastAsia="ru-RU"/>
    </w:rPr>
  </w:style>
  <w:style w:type="character" w:customStyle="1" w:styleId="af1">
    <w:name w:val="Абзац списка Знак"/>
    <w:link w:val="af0"/>
    <w:uiPriority w:val="34"/>
    <w:locked/>
    <w:rPr>
      <w:rFonts w:ascii="Calibri" w:eastAsia="Calibri" w:hAnsi="Calibri" w:cs="Times New Roman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  <w:sz w:val="20"/>
      <w:szCs w:val="20"/>
      <w:lang w:val="uk-UA" w:eastAsia="uk-UA"/>
    </w:rPr>
  </w:style>
  <w:style w:type="character" w:customStyle="1" w:styleId="af2">
    <w:name w:val="Другое_"/>
    <w:basedOn w:val="a0"/>
    <w:link w:val="af3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  <w:lang w:val="uk-UA"/>
    </w:rPr>
  </w:style>
  <w:style w:type="character" w:customStyle="1" w:styleId="2">
    <w:name w:val="Основной текст (2)_"/>
    <w:basedOn w:val="a0"/>
    <w:link w:val="20"/>
    <w:locked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widowControl w:val="0"/>
      <w:spacing w:after="0" w:line="240" w:lineRule="auto"/>
      <w:ind w:firstLine="600"/>
    </w:pPr>
    <w:rPr>
      <w:rFonts w:ascii="Times New Roman" w:eastAsiaTheme="minorHAnsi" w:hAnsi="Times New Roman"/>
      <w:lang w:val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stat.gov.ua/operativ/operativ2021/ns/kusm/kusm22_ue.xlsx" TargetMode="External"/><Relationship Id="rId13" Type="http://schemas.openxmlformats.org/officeDocument/2006/relationships/hyperlink" Target="https://ves.com.ua/uk/platformenn%D1%96-vagi-dn%D1%96proves-vpd-1220-l-5t?gclid=Cj0KCQjwpZWzBhC0ARIsACvjWRNBGFuy2AWoma3g9CgdYvaCbJVF_MEbLwpn16eQ7gAfNY7GRdcR69saAog7EALw_wcB&amp;gad_source=1" TargetMode="External"/><Relationship Id="rId18" Type="http://schemas.openxmlformats.org/officeDocument/2006/relationships/hyperlink" Target="https://rozetka.com.ua/ua/389288565/p3892885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zetka.com.ua/ua/389288565/p389288565/" TargetMode="External"/><Relationship Id="rId7" Type="http://schemas.openxmlformats.org/officeDocument/2006/relationships/hyperlink" Target="https://www.ukrstat.gov.ua/operativ/operativ2021/ns/ns_rik/opap_rik_u95-20.xlsx" TargetMode="External"/><Relationship Id="rId12" Type="http://schemas.openxmlformats.org/officeDocument/2006/relationships/hyperlink" Target="https://zsk.kiev.ua/uk/category/352-ograzhdenie-iz-setki" TargetMode="External"/><Relationship Id="rId17" Type="http://schemas.openxmlformats.org/officeDocument/2006/relationships/hyperlink" Target="https://ves.com.ua/uk/platformenn%D1%96-vagi-dn%D1%96proves-vpd-1220-l-5t?gclid=Cj0KCQjwpZWzBhC0ARIsACvjWRNBGFuy2AWoma3g9CgdYvaCbJVF_MEbLwpn16eQ7gAfNY7GRdcR69saAog7EALw_wcB&amp;gad_sourc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orro.gov.ua/tender/UA-2020-10-06-000786-b" TargetMode="External"/><Relationship Id="rId20" Type="http://schemas.openxmlformats.org/officeDocument/2006/relationships/hyperlink" Target="https://ves.com.ua/uk/platformenn%D1%96-vagi-dn%D1%96proves-vpd-1220-l-5t?gclid=Cj0KCQjwpZWzBhC0ARIsACvjWRNBGFuy2AWoma3g9CgdYvaCbJVF_MEbLwpn16eQ7gAfNY7GRdcR69saAog7EALw_wcB&amp;gad_source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sk.kiev.ua/uk/category/352-ograzhdenie-iz-setk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ozetka.com.ua/ua/170775585/p170775585/?utm_l=r&amp;gad_source=1&amp;gclid=Cj0KCQjwpZWzBhC0ARIsACvjWRPORbuy10J9LSaeXEteJDHZCJsCiVTmp6taxcF8wrhqo2EAv-oPTS0aAoZTEALw_wcB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prozorro.gov.ua/tender/UA-2020-10-06-000786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rstat.gov.ua/operativ/operativ2018/ns/kusm/arch_kusm_u.htm" TargetMode="External"/><Relationship Id="rId14" Type="http://schemas.openxmlformats.org/officeDocument/2006/relationships/hyperlink" Target="https://rozetka.com.ua/ua/389288565/p389288565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CF57-1DF6-417A-A440-405C667C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18</Pages>
  <Words>20769</Words>
  <Characters>11839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Баннікова Ірина Олександрівна</cp:lastModifiedBy>
  <cp:revision>106</cp:revision>
  <cp:lastPrinted>2023-03-28T19:38:00Z</cp:lastPrinted>
  <dcterms:created xsi:type="dcterms:W3CDTF">2024-12-18T09:36:00Z</dcterms:created>
  <dcterms:modified xsi:type="dcterms:W3CDTF">2025-01-24T14:38:00Z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9BB77F3B122C4DFD951839D0DDEA94C9_13</vt:lpwstr>
  </property>
</Properties>
</file>