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проєкту постанови Кабінету Міністрів України 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“Про внесення змін до деяких постанов Кабінету Міністрів України щодо скасування неактуальних інструментів державного регулювання у сфері охорони навколишнього природного середовища”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43473" w:rsidRDefault="00793E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Визначення проблеми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сьогодні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правове регулювання господарської діяльності передбачає наявність великої кількості інструментів державного регулювання (ліцензій, дозволів, результатів надання публічних (електронних публічних) послуг), що негативно впливає на відновлення економіки держав</w:t>
      </w:r>
      <w:r>
        <w:rPr>
          <w:rFonts w:ascii="Times New Roman" w:eastAsia="Times New Roman" w:hAnsi="Times New Roman" w:cs="Times New Roman"/>
          <w:sz w:val="28"/>
          <w:szCs w:val="28"/>
        </w:rPr>
        <w:t>и, її зростання, появу нових підприємств, збереження та створення робочих місць, залучення іноземних інвестицій тощо.</w:t>
      </w:r>
    </w:p>
    <w:p w:rsidR="00343473" w:rsidRDefault="00793EE8">
      <w:pPr>
        <w:widowControl w:val="0"/>
        <w:tabs>
          <w:tab w:val="left" w:pos="212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Так, за попереднім аналізом у всіх сферах правового регулювання виявлено більше 1000 інструментів державного регулювання господарської дія</w:t>
      </w:r>
      <w:r>
        <w:rPr>
          <w:rFonts w:ascii="Times New Roman" w:eastAsia="Times New Roman" w:hAnsi="Times New Roman" w:cs="Times New Roman"/>
          <w:sz w:val="28"/>
          <w:szCs w:val="28"/>
        </w:rPr>
        <w:t>льності.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Наявність такої великої кількості інструментів державного регулювання негативно впливає на започаткування провадження господарської діяльності суб’єктами господарювання та їх виходу на відповідні ринки, зокрема, через необхідність пошуку та опрацю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ванням регуляторних актів, які містять завідомо застарілі та не актуальні обов’язкові вимоги у сфері господарської діяльності, проходження процедур для їх виконання, що є вкрай неприйнятним для економіки держави, яка знаходиться в умовах воєнного стану. 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акий підхід потребує змін шляхом перегляду інструментів регулювання сфер господарської діяльності, з метою оптимізації або скасування таких, що є надмірними, необґрунтованими та не актуальними, оскільки це може призвести до недоотримання вигоди у підприємн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ицькій діяльності, залишення не реалізованими нових підприємницьких рішень, напрямів діяльності тощо. </w:t>
      </w:r>
    </w:p>
    <w:p w:rsidR="00343473" w:rsidRDefault="00793E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прискореного перегляду інструментів державного регулювання, відповідно до постанови Кабінету Міністрів України від 13.01.2023 № 44, </w:t>
      </w:r>
      <w:r>
        <w:rPr>
          <w:rFonts w:ascii="Times New Roman" w:eastAsia="Times New Roman" w:hAnsi="Times New Roman" w:cs="Times New Roman"/>
          <w:sz w:val="28"/>
          <w:szCs w:val="28"/>
        </w:rPr>
        <w:t>утворено Міжвідомчу робочу групу з питань прискореного перегляду інструментів державного регулювання господарської діяльності (далі – МРГ) та затверджено Положення про неї (далі – Положення про МРГ). Мета утворення МРГ – здійснення прискореного перегляду і</w:t>
      </w:r>
      <w:r>
        <w:rPr>
          <w:rFonts w:ascii="Times New Roman" w:eastAsia="Times New Roman" w:hAnsi="Times New Roman" w:cs="Times New Roman"/>
          <w:sz w:val="28"/>
          <w:szCs w:val="28"/>
        </w:rPr>
        <w:t>нструментів державного регулювання господарської діяльності з метою їх оптимізації, удосконалення або скасування.</w:t>
      </w:r>
    </w:p>
    <w:p w:rsidR="00343473" w:rsidRDefault="00793E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Відповідно до підпункту першого пункту 3 Положення про МРГ, одним із основних завдань МРГ є сприяння координації дій центральних органів викон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авчої влади, що забезпечують формування державної політики у відповідних сферах господарської діяльності, щодо застосування інструментів державного регулювання у відповідних сферах господарської діяльності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(ліцензій, дозволів, результатів надання публічних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(електронних публічних), зокрема, адміністративних послуг.</w:t>
      </w:r>
    </w:p>
    <w:p w:rsidR="00343473" w:rsidRDefault="00793E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Підпунктом 4 пункту 4 Положення про МРГ визначено, що МРГ відповідно до покладених на неї завдань, серед іншого подає Кабінетові Міністрів України розроблені за результатами своєї роботи рекоменда</w:t>
      </w:r>
      <w:r>
        <w:rPr>
          <w:rFonts w:ascii="Times New Roman" w:eastAsia="Times New Roman" w:hAnsi="Times New Roman" w:cs="Times New Roman"/>
          <w:sz w:val="28"/>
          <w:szCs w:val="28"/>
        </w:rPr>
        <w:t>ції та пропозиції.</w:t>
      </w:r>
    </w:p>
    <w:p w:rsidR="00343473" w:rsidRDefault="00793E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Пропозиції та рекомендації МРГ реалізуються шляхом прийняття Кабінетом Міністрів України рішення, проект якого вноситься органом виконавчої влади, визначеним за відповідними пропозиціями та рекомендаціями МРГ (пункт 13 Положення про МРГ)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результатами проведеного 9 лютого 2023 року засідання МРГ та здійснення комплексного аналізу сфер господарської діяльності, в яких Міндовкілля формує державну політику, МРГ було рекомендовано вжити заходів щодо удосконалення регуляторного середовища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цих сферах. 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Зокрема,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сфері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надрокористування рекомендовано до скасування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дозвіл на спеціальне використання природних ресурсів в частині використання корисних копалин, у тому числі тих, що видобуваються на континентальному шельфі.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сфері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лісокористування рекомендовано до скасування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наступні інструменти державного регулювання:</w:t>
      </w:r>
    </w:p>
    <w:p w:rsidR="00343473" w:rsidRDefault="00793EE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погодження додаткової заготівлі деревини під час проведення рубок головного користування в межах не використаного за попередні роки обсягу діючої розрахункової лісосіки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(в частині погодження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 органом виконавчої влади з питань охорони навколишнього природн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ого середовища Автономної Республіки Крим, обласними, Київською та Севастопольською міськими держадміністраціями)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;</w:t>
      </w:r>
    </w:p>
    <w:p w:rsidR="00343473" w:rsidRDefault="00793EE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погодження на розчищення лісових ділянок у  зв'язку  з  будівництвом лісових доріг за межами виділення лісових ділянок;</w:t>
      </w:r>
    </w:p>
    <w:p w:rsidR="00343473" w:rsidRDefault="00793EE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погодження відстрочен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ня на заготівлю та вивезення деревини;</w:t>
      </w:r>
    </w:p>
    <w:p w:rsidR="00343473" w:rsidRDefault="00793EE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погодження технологічних карт стосовно лісівничих вимог.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Серед основних підстав для скасування вищевказаних інструментів державного регулювання можна виділити наступні:</w:t>
      </w:r>
    </w:p>
    <w:p w:rsidR="00343473" w:rsidRDefault="00793EE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втрата актуальності інструментів державного регу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лювання, зокрема, за останні 2 роки не було жодного запиту від суб'єктів господарювання щодо отримання інструменту;</w:t>
      </w:r>
    </w:p>
    <w:p w:rsidR="00343473" w:rsidRDefault="00793EE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необхідність отримання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інструменту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визначена на рівні спеціального закону, як того вимагає стаття 5 Закону України “Про адміністративні п</w:t>
      </w:r>
      <w:r>
        <w:rPr>
          <w:rFonts w:ascii="Times New Roman" w:eastAsia="Times New Roman" w:hAnsi="Times New Roman" w:cs="Times New Roman"/>
          <w:sz w:val="28"/>
          <w:szCs w:val="28"/>
        </w:rPr>
        <w:t>ослуги”, зокрема, не визначено: найменування послуги; суб'єкта надання послуги; переліку та вимог до документів, необхідних для отримання адміністративної послуги; платність або безоплатність надання адміністративної послуги; граничного строку надання адмі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ністративної послуги; переліку підстав для відмови у наданні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адміністративної послуги. Також, не розроблені підзаконні нормативно-правові акти, які б врегульовували процедуру видачі інструментів.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У сфері надрокористування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виявлено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застарілий та не актуаль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інструмент державного регулювання -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дозвіл на спеціальне використання природних ресурсів, в частині використання корисних копалин, у тому числі тими, що видобуваються на континентальному шельфі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Так, у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постанові Кабінету Міністрів України від 10 серпня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1992 р. № 459 «Про порядок видачі дозволів на спеціальне використання природних ресурсів у межах територій та об'єктів природно-заповідного фонду і встановлення лімітів використання ресурсів загальнодержавного значення» передбачено, що до природних ресурс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ів, на які видається дозвіл на спеціальне використання, належать, зокрема, корисні копалини,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 тому числі ті, що видобуваються на континентальному шельфі. Разом з тим, на сьогодні, користування всіма видами надр незалежно від місця їх залягання, в тому чис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лі й вуглеводнями на континентальному шельфі, здійснюється на підставі спеціального дозволу на користування надрами, що регулюється Кодексом України про надра. Таким чином, інструмент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застарілий і відповідно засмічує регуляторне поле чим створює підґрунтя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корупції. Окрім того,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 останні 2 роки не було видано жодного такого дозволу.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Більшість інструментів державного регулювання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 сфері лісокористування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рекомендовані до скасування, оскільки вони - незаконні, тобто, необхідність їх отримання не визначена на рівні спеціальних законів, як того вимагає стаття 5 Закону України “Про адміністративні послуги”, зокрема, на рівні Лісового кодексу України не визнач</w:t>
      </w:r>
      <w:r>
        <w:rPr>
          <w:rFonts w:ascii="Times New Roman" w:eastAsia="Times New Roman" w:hAnsi="Times New Roman" w:cs="Times New Roman"/>
          <w:sz w:val="28"/>
          <w:szCs w:val="28"/>
        </w:rPr>
        <w:t>ено: найменування послуги; суб'єкта надання послуги; переліку та вимог до документів, необхідних для отримання адміністративної послуги; платність або безоплатність надання адміністративної послуги; граничного строку надання адміністративної послуги; перел</w:t>
      </w:r>
      <w:r>
        <w:rPr>
          <w:rFonts w:ascii="Times New Roman" w:eastAsia="Times New Roman" w:hAnsi="Times New Roman" w:cs="Times New Roman"/>
          <w:sz w:val="28"/>
          <w:szCs w:val="28"/>
        </w:rPr>
        <w:t>іку підстав для відмови у наданні адміністративної послуги. Також, не розроблені підзаконні нормативно-правові акти, які б врегульовували процедуру видачі інструментів.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прикладу, відповідно до пункту 44 Порядку спеціального використання лісових ресурсів</w:t>
      </w:r>
      <w:r>
        <w:rPr>
          <w:rFonts w:ascii="Times New Roman" w:eastAsia="Times New Roman" w:hAnsi="Times New Roman" w:cs="Times New Roman"/>
          <w:sz w:val="28"/>
          <w:szCs w:val="28"/>
        </w:rPr>
        <w:t>, затвердженого постановою Кабінету Міністрів України від 23 травня 2007 р. № 761, розчищення лісових ділянок у зв'язку з будівництвом лісових доріг за межами виділення лісових ділянок допускається за погодженням з органами Держлісагентства. Однак, такий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нструмент державного регулювання, як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погодження на розчищення лісових ділянок у зв'язку з будівництвом лісових доріг за межами виділення лісових ділянок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передбачений Лісовим кодексом України. Також, на підзаконному рівні відсутній порядок (процедура)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погодження з органами Держлісагентства. Окрім того, за інформацією Держлісагентства,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останні 2 роки не було надано жодного погодження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розчищення лісових ділянок у зв'язку з будівництвом лісових доріг за межами виділення лісових ділянок.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ном, даний інструмент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 законний та неактуальний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оскільки не було жодного звернення суб'єктів господарювання щодо його отримання,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що свідчить про незатребуваність цих інструментів для бізнесу.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пункту 32 Правил рубок головного користування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гірських лісах Карпат, затверджених постановою Кабінету Міністрів України від 22 жовтня 2008 р. № 929,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кожну лісосіку до початку її  розробки складається технологічна  карта, яка з урахуванням конкретних умов відображає лісівничі та організаційні вимог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до виконання робіт. Технологічні карти стосовно лісівничих вимог погоджуються з територіальними органами Держлісагентства, а під час проведення рубок на території та об'єктах природно-заповідного фонду - також з  облдержадміністраціями. Разом з тим, інст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румент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“погодження технологічних карт стосовно лісівничих вимог”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визначений лише на підзаконному рівні, тобто на рівні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ісового кодексу України він не передбачений. Також, на підзаконному рівні відсутній порядок (процедура) такого погодження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 територіальн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ими органами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Держлісагентства. Окрім того,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Положення про обласні управління лісового та мисливського господарства Державного агентства лісових ресурсів України, затверджене наказом Міністерства захисту довкілля та природних ресурсів України від 26 березня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2021 року № 217, не містить повноважень обласних управлінь щодо видачі інструменту.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Слід зазначити, що за інформацією Держлісагентства, протягом 2021 року було надано 3190 погоджень, а протягом 2022 - 3248 погоджень. Разом з тим, враховуючи те, що даний ін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струмент незаконний, оскільки він не передбачений на рівні спеціального закону та відсутня процедура його видачі,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щорічно більше 3000 суб'єктів господарювання вимушені витрачати кошти на підготовку та подання документів для отримання завідомо незаконного 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нструменту державного регулювання.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 відповідності з пунктом 51 Порядку спеціального використання лісових ресурсів, затвердженого постановою Кабінету Міністрів України від 23 травня 2007 року № 761, відстрочення надається органами Держлісагентства за погод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женням з обласними, Київською та Севастопольською міськими держадміністраціями, органом виконавчої влади з питань охорони навколишнього природного середовища Автономної Республіки Крим на підставі обґрунтованої письмової заяви лісокористувача або споживача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(для вивезення деревини), яка подається не пізніше ніж за десять днів до закінчення встановленого строку заготівлі або вивезення деревини. Разом з тим, на підзаконному рівні порядок отримання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погодження відстрочення на заготівлю та вивезення деревини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ьогодні не встановлений, інструмент не передбачений на рівні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ісового кодексу України. 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Разом з тим, за інформацією Держлісагентства, протягом 2021 року було надано 57 погоджень, а протягом 2022 - 48 погоджень. Окрім того, на сьогодні у правовому полі діє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постанова Кабінету Міністрів України від 12 травня 2023 р. № 483 “Про реалізацію експериментального проекту щодо видачі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спеціального дозволу на спеціальне використання лісових ресурсів (лісорубного квитка) та сертифіката про походження лісоматеріалів та ви</w:t>
      </w:r>
      <w:r>
        <w:rPr>
          <w:rFonts w:ascii="Times New Roman" w:eastAsia="Times New Roman" w:hAnsi="Times New Roman" w:cs="Times New Roman"/>
          <w:sz w:val="28"/>
          <w:szCs w:val="28"/>
        </w:rPr>
        <w:t>готовлених з них пиломатеріалів в електронній формі”, згідно якої, заява на відстрочення лісорубного квитка формується засобами Єдиної екологічної платформи “ЕкоСистема” та/або Порталу Дія в електронній формі.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чином,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необхідності, таке погодження має надаватися в автоматичному режимі під час опрацювання повідомлення лісокористувача про необхідність відстрочення на заготівлю та вивезення деревини, поданого в електронній формі, без участі заявника, а не надаватися, 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окрема послуга, створюючи додаткове фінансове навантаження на бізнес.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скасування вищевказаних інструментів державного регулювання не вплине на регулювання господарської діяльності, а навпаки, дозволить очистити регуляторне поле від з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авідомо застарілих та не актуальних обов’язкових вимог у сфері господарської діяльності, а також зменшить фінансове навантаження на бізнес, оскільки, на сьогодні, орієнтовні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витрати складають близько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4,1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млн грн.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Також, проєктом передбачається внесення змі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до пункту 10 Порядку спеціального використання лісових ресурсів, затвердженого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постановою Кабінету Міністрів України від 23 травня 2007 року № 761,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частині скасування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погодження додаткової заготівлі деревини під час проведення рубок головного користува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ння в межах не використаного за попередні роки обсягу діючої розрахункової лісосіки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 органом виконавчої влади з питань охорони навколишнього природного середовища Автономної Республіки Крим, обласними, Київською та Севастопольською міськими держадміністра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ціями</w:t>
      </w:r>
      <w:r>
        <w:rPr>
          <w:rFonts w:ascii="Times New Roman" w:eastAsia="Times New Roman" w:hAnsi="Times New Roman" w:cs="Times New Roman"/>
          <w:sz w:val="28"/>
          <w:szCs w:val="28"/>
        </w:rPr>
        <w:t>. Натомість, таке погодження буде надаватися лише органом виконавчої влади з питань лісового господарства Автономної Республіки Крим та територіальними органами Держлісагентства.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згідно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пункту 3 Порядку видачі спеціальних дозволів на використання лісових ресурсів, затвердженого постановою Кабінету Міністрів України від 23 травня 2007 року № 761, лісорубний квиток видається на заготівлю деревини під час проведення рубок головного користува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ння на підставі затвердженої в установленому порядку розрахункової лісосіки. Тобто, для заготівлі деревини власник лісів або постійний лісокористувач першочергово отримує дозвіл на спеціальне використання лісових ресурсів (лісорубний квиток). Вже потім,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межах не використаного за попередні роки обсягу діючої розрахункової лісосіки,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власник лісів або постійний лісокористувач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 здійснювати додаткову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заготівлю деревини під час проведення рубок головного користування. </w:t>
      </w:r>
      <w:r>
        <w:rPr>
          <w:rFonts w:ascii="Times New Roman" w:eastAsia="Times New Roman" w:hAnsi="Times New Roman" w:cs="Times New Roman"/>
          <w:sz w:val="28"/>
          <w:szCs w:val="28"/>
        </w:rPr>
        <w:t>Разом з тим, відповідно до ч 4 статті 4</w:t>
      </w:r>
      <w:r>
        <w:rPr>
          <w:rFonts w:ascii="Times New Roman" w:eastAsia="Times New Roman" w:hAnsi="Times New Roman" w:cs="Times New Roman"/>
          <w:sz w:val="28"/>
          <w:szCs w:val="28"/>
        </w:rPr>
        <w:t>3 Лісового кодексу України, розрахункова лісосіка затверджується центральним органом виконавчої влади, що забезпечує формування державної політики у сфері охорони навколишнього природного середовища, за погодженням з центральним органом виконавчої влади, щ</w:t>
      </w:r>
      <w:r>
        <w:rPr>
          <w:rFonts w:ascii="Times New Roman" w:eastAsia="Times New Roman" w:hAnsi="Times New Roman" w:cs="Times New Roman"/>
          <w:sz w:val="28"/>
          <w:szCs w:val="28"/>
        </w:rPr>
        <w:t>о реалізує державну політику у сфері лісового господарства.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Водночас, ні Лісовим кодексом України, ні законодавчими актами, не визначено повноважень органів виконавчої влади з питань охорони навколишнього природного середовища Автономної Республіки Крим, обласних, Київської та Севастопольської міських держадміністр</w:t>
      </w:r>
      <w:r>
        <w:rPr>
          <w:rFonts w:ascii="Times New Roman" w:eastAsia="Times New Roman" w:hAnsi="Times New Roman" w:cs="Times New Roman"/>
          <w:sz w:val="28"/>
          <w:szCs w:val="28"/>
        </w:rPr>
        <w:t>ацій в частині погодження використання розрахункової лісосіки. Тому, скасування погодження додаткової заготівлі деревини під час проведення рубок головного користування в межах не використаного за попередні роки обсягу діючої розрахункової лісосіки з орган</w:t>
      </w:r>
      <w:r>
        <w:rPr>
          <w:rFonts w:ascii="Times New Roman" w:eastAsia="Times New Roman" w:hAnsi="Times New Roman" w:cs="Times New Roman"/>
          <w:sz w:val="28"/>
          <w:szCs w:val="28"/>
        </w:rPr>
        <w:t>ом виконавчої влади з питань охорони навколишнього природного середовища Автономної Республіки Крим, обласними, Київською та Севастопольською міськими держадміністраціями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позбавить місцеві органи влади не визначених законами функцій.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 стосується погоджен</w:t>
      </w:r>
      <w:r>
        <w:rPr>
          <w:rFonts w:ascii="Times New Roman" w:eastAsia="Times New Roman" w:hAnsi="Times New Roman" w:cs="Times New Roman"/>
          <w:sz w:val="28"/>
          <w:szCs w:val="28"/>
        </w:rPr>
        <w:t>ня додаткової заготівлі деревини під час проведення рубок головного користування територіальними органами Держлісагентства, то оскільки, відповідно до статті 28-1 Лісового кодексу України, центральний орган виконавчої влади, що реалізує державну політику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сфері лісового господарства, зокрема, здійснює державний контроль за додержанням нормативно-правових актів щодо ведення лісового господарства та організовує ведення лісового господарства і раціональне використання лісових ресурсів,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недоцільно скасовувати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погодження додаткової заготівлі деревини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під час проведення рубок головного користування в межах не використаного за попередні роки обсягу діючої розрахункової лісосіки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територіальними органами Держлісагентства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оскільки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 може призвести до зниження рівня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контролю за використанням лісових ресурсів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виконання пункту 58 Плану заходів щодо дерегуляції господарської діяльності та покращення бізнес-клімату, затвердженого розпорядженням Кабінету Міністрів України від 04 грудня 2019 року № 1413 (в редакції роз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порядження Кабінету Міністрів України від  03 вересня 2024 року № 838-р)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з метою вирішення зазначених вище проблем, Міндовкілля підготовлено проєкт постанови Кабінету Міністрів України “Про внесення змін до деяких постанов Кабінету Міністрів України щод</w:t>
      </w:r>
      <w:r>
        <w:rPr>
          <w:rFonts w:ascii="Times New Roman" w:eastAsia="Times New Roman" w:hAnsi="Times New Roman" w:cs="Times New Roman"/>
          <w:sz w:val="28"/>
          <w:szCs w:val="28"/>
        </w:rPr>
        <w:t>о скасування неактуальних інструментів державного регулювання у сфері охорони навколишнього природного середовища”.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Основні групи на які проблема справляє вплив:</w:t>
      </w:r>
    </w:p>
    <w:tbl>
      <w:tblPr>
        <w:tblStyle w:val="afa"/>
        <w:tblW w:w="9120" w:type="dxa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2130"/>
        <w:gridCol w:w="1770"/>
      </w:tblGrid>
      <w:tr w:rsidR="00343473">
        <w:tc>
          <w:tcPr>
            <w:tcW w:w="522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Групи (підгрупи)</w:t>
            </w:r>
          </w:p>
        </w:tc>
        <w:tc>
          <w:tcPr>
            <w:tcW w:w="213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</w:t>
            </w:r>
          </w:p>
        </w:tc>
        <w:tc>
          <w:tcPr>
            <w:tcW w:w="177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Ні</w:t>
            </w:r>
          </w:p>
        </w:tc>
      </w:tr>
      <w:tr w:rsidR="00343473">
        <w:tc>
          <w:tcPr>
            <w:tcW w:w="522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Громадяни</w:t>
            </w:r>
          </w:p>
        </w:tc>
        <w:tc>
          <w:tcPr>
            <w:tcW w:w="213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+</w:t>
            </w:r>
          </w:p>
        </w:tc>
      </w:tr>
      <w:tr w:rsidR="00343473">
        <w:tc>
          <w:tcPr>
            <w:tcW w:w="522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Держава</w:t>
            </w:r>
          </w:p>
        </w:tc>
        <w:tc>
          <w:tcPr>
            <w:tcW w:w="213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7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3473">
        <w:tc>
          <w:tcPr>
            <w:tcW w:w="522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Суб’єкти господарювання,</w:t>
            </w:r>
          </w:p>
        </w:tc>
        <w:tc>
          <w:tcPr>
            <w:tcW w:w="213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7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473">
        <w:tc>
          <w:tcPr>
            <w:tcW w:w="522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тому числі суб’єкти малого підприємництва</w:t>
            </w:r>
          </w:p>
        </w:tc>
        <w:tc>
          <w:tcPr>
            <w:tcW w:w="213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7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Врегулювання зазначених проблемних питань не може бути здійснено за допомогою: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ринкових механізмів, оскільки такі питання регулюються виключно нормативно-правовими актами;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діючих регуляторних актів, оскільки чинним законодавством порушені питання не врегульовані. 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473" w:rsidRDefault="00793E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Цілі державного регулювання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473" w:rsidRDefault="00793E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Державне регулювання спрямоване на досягнення таких цілей:</w:t>
      </w:r>
    </w:p>
    <w:p w:rsidR="00343473" w:rsidRDefault="00793EE8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зменшення кількості інструментів державного регулювання для бізнесу шляхом скасування застарілих та неактуальних;</w:t>
      </w:r>
    </w:p>
    <w:p w:rsidR="00343473" w:rsidRDefault="00793EE8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зменшення адміністративних, фінансових та часових витрат бізнесу за рахунок зменшення кількості документів дозвільного характеру, які необхідн</w:t>
      </w:r>
      <w:r>
        <w:rPr>
          <w:rFonts w:ascii="Times New Roman" w:eastAsia="Times New Roman" w:hAnsi="Times New Roman" w:cs="Times New Roman"/>
          <w:sz w:val="28"/>
          <w:szCs w:val="28"/>
        </w:rPr>
        <w:t>о отримувати для провадження діяльності;</w:t>
      </w:r>
    </w:p>
    <w:p w:rsidR="00343473" w:rsidRDefault="00793EE8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удосконалення/оптимізація процедур надання адміністративних послуг.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473" w:rsidRDefault="00793E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Визначення та оцінка альтернативних способів досягнення цілей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Визначення альтернативних способів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b"/>
        <w:tblW w:w="9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5895"/>
      </w:tblGrid>
      <w:tr w:rsidR="00343473">
        <w:tc>
          <w:tcPr>
            <w:tcW w:w="349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Вид альтернативи</w:t>
            </w:r>
          </w:p>
        </w:tc>
        <w:tc>
          <w:tcPr>
            <w:tcW w:w="589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 альтернативи</w:t>
            </w:r>
          </w:p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473">
        <w:tc>
          <w:tcPr>
            <w:tcW w:w="349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Альтернатива 1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(залишення наявної ситуації без змін)</w:t>
            </w:r>
          </w:p>
        </w:tc>
        <w:tc>
          <w:tcPr>
            <w:tcW w:w="589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є неприйнятною, оскільки в регуляторному полі залишаються інструменти державного регулювання, які є неактуальними, застарілими та незаконними, та які в результаті можуть стати джерелом для корупції. Залишається надмірне регуляторне та фінансов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навантаження на бізнес через існування додаткових інструментів державного регулювання.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забезпечує досягнення цілі.</w:t>
            </w:r>
          </w:p>
        </w:tc>
      </w:tr>
      <w:tr w:rsidR="00343473">
        <w:tc>
          <w:tcPr>
            <w:tcW w:w="349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Альтернатива 2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(прийняття запропонованого проєкту акту)</w:t>
            </w:r>
          </w:p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Внесення змін до законодавства з метою скасування інструментів державного регу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лювання, які існують у сфері правового регулювання Міндовкілля.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Вказана альтернатива дозволить, зокрема удосконалити процедури надання адміністративних послуг, зменшити регуляторне та фінансове навантаження на бізнес. Очікуваний економічний ефект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85840 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один та близько 4,1 млн грн.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є прийнятною, оскільки вирішення вказаних проблем сприятиме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відновленню економіки держави, її зростанню, появі нових підприємств, збереженню та створенню робочих місць, залученню іноземних інвестицій тощо, внаслідо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вивільнення фінансових та часових ресурсів суб’єктів господарювання від скасування інструментів державного регулювання через їх незаконність,  неактуальність та застарілість регулювання.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Повністю відповідає потребам у вирішенні проблеми.</w:t>
            </w:r>
          </w:p>
        </w:tc>
      </w:tr>
      <w:tr w:rsidR="00343473">
        <w:tc>
          <w:tcPr>
            <w:tcW w:w="349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Альтернатива 3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(приведення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підзаконних нормативно-правових актів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відповідність до вимог законодавства)</w:t>
            </w:r>
          </w:p>
        </w:tc>
        <w:tc>
          <w:tcPr>
            <w:tcW w:w="589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Така альтернатива передбачає внесення змін  до законодавства з метою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приведення підзаконних нормативно-правових актів у сфері лісокористування, які передбачають існув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ання інструментів державного регулювання, у відповідність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 5 Закону України “Про адміністративні послуги”, зокрема, визначення на рівні спеціальних законів: найменування послуги; суб'єкта надання послуги; переліку та вимог до документів, необхідни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для отримання адміністративної послуги; платності або безоплатності надання адміністративної послуги; граничного строку надання адміністративної послуги; переліку підстав для відмови у наданні адміністративної послуги.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Зокрема, пропонується приведення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відповідність до вимог законодавства таких інструментів державного регулювання: </w:t>
            </w:r>
          </w:p>
          <w:p w:rsidR="00343473" w:rsidRDefault="00793EE8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погодження додаткової заготівлі деревини під час проведення рубок головного користування в межах не використаного за попередні роки обсягу діючої розрахункової лісосіки;</w:t>
            </w:r>
          </w:p>
          <w:p w:rsidR="00343473" w:rsidRDefault="00793EE8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ження на розчищення лісових ділянок у  зв'язку  з  будівництвом лісових доріг за межами виділення лісових ділянок;</w:t>
            </w:r>
          </w:p>
          <w:p w:rsidR="00343473" w:rsidRDefault="00793EE8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погодження відстрочення на заготівлю та вивезення деревини;</w:t>
            </w:r>
          </w:p>
          <w:p w:rsidR="00343473" w:rsidRDefault="00793EE8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погодження технологічних карт стосовно лісівничих вимог.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Альтернатива є неприйнятною, оскільки залишається надмірне регуляторне та фінансове навантаження на бізнес через існування додаткових інструментів державного регулювання.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забезпечує в повній мірі досягнення цілей державного регулювання спрямованих, зокр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ема, на зменшення кількості інструментів державного регулювання.</w:t>
            </w:r>
          </w:p>
        </w:tc>
      </w:tr>
    </w:tbl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Оцінка обраних альтернативних способів досягнення цілей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Оцінка впливу  на сферу інтересів держави</w:t>
      </w:r>
    </w:p>
    <w:tbl>
      <w:tblPr>
        <w:tblStyle w:val="afc"/>
        <w:tblW w:w="9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3165"/>
        <w:gridCol w:w="3720"/>
      </w:tblGrid>
      <w:tr w:rsidR="00343473"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альтернативи</w:t>
            </w:r>
          </w:p>
        </w:tc>
        <w:tc>
          <w:tcPr>
            <w:tcW w:w="3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Вигоди</w:t>
            </w:r>
          </w:p>
        </w:tc>
        <w:tc>
          <w:tcPr>
            <w:tcW w:w="3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</w:t>
            </w:r>
          </w:p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473"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Альтернатива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Залишення наявної ситуації без змін</w:t>
            </w:r>
          </w:p>
        </w:tc>
        <w:tc>
          <w:tcPr>
            <w:tcW w:w="3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Залишається додаткове (зайве) регуляторне навантаження на бізнес, що не сприяє економічному розвитку держави.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Залишаються застарілі та неактуальні інструменти регулювання, які обтяжують законодавчі норми дозвільної системи.</w:t>
            </w:r>
          </w:p>
        </w:tc>
        <w:tc>
          <w:tcPr>
            <w:tcW w:w="3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часу, людських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матеріальних ресурсів на адміністрування інструментів регулювання, які не актуальні на даний час.</w:t>
            </w:r>
          </w:p>
        </w:tc>
      </w:tr>
      <w:tr w:rsidR="00343473"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Альтернатива 2.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проєкту акту</w:t>
            </w:r>
          </w:p>
        </w:tc>
        <w:tc>
          <w:tcPr>
            <w:tcW w:w="3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Забезпечення прозорого та ефективного регулювання. Можливе збільшення надходжень до Державного бюджету України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рахунок можливих інвестицій, створення нових робочих місць тощо.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Приведення у відповідність чинних нормативно-правових актів регуляторного характеру.</w:t>
            </w:r>
          </w:p>
        </w:tc>
        <w:tc>
          <w:tcPr>
            <w:tcW w:w="3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межах коштів, передбачених у Державному бюджеті України у відповідному році на фінансування органів влади.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Забезпечить скорочення часових витрат для фахівців органів виконавчої влади на адміністрування процедур надання адміністративних послуг.</w:t>
            </w:r>
          </w:p>
        </w:tc>
      </w:tr>
      <w:tr w:rsidR="00343473"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Альтернат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ива 3.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підзаконних нормативно-правових актів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відповідність до вимог законодавства</w:t>
            </w:r>
          </w:p>
        </w:tc>
        <w:tc>
          <w:tcPr>
            <w:tcW w:w="3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Залишається додаткове (зайве) регуляторне навантаження на бізнес, що не сприяє економічному розвитку держави.</w:t>
            </w:r>
          </w:p>
          <w:p w:rsidR="00343473" w:rsidRDefault="003434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адміністрування процедур надання адмі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ністративних послуг.</w:t>
            </w:r>
          </w:p>
        </w:tc>
      </w:tr>
    </w:tbl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Оцінка впливу на сферу інтересів суб’єктів господарювання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Щодо видачі інструментів державного регулювання у сфері надрокористування.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Зважаючи на те, що суб’єкти господарювання у своїй діяльності можуть отримувати більше ніж одну адміністративну послугу в різних сферах господарської діяльності, неможливо встановити їх точну кількість, тому розрахунок витрат здійснюватиметься на одного ум</w:t>
      </w:r>
      <w:r>
        <w:rPr>
          <w:rFonts w:ascii="Times New Roman" w:eastAsia="Times New Roman" w:hAnsi="Times New Roman" w:cs="Times New Roman"/>
          <w:sz w:val="28"/>
          <w:szCs w:val="28"/>
        </w:rPr>
        <w:t>овного суб’єкта господарювання малого підприємництва.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d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1290"/>
        <w:gridCol w:w="1350"/>
        <w:gridCol w:w="1305"/>
        <w:gridCol w:w="1290"/>
        <w:gridCol w:w="1425"/>
      </w:tblGrid>
      <w:tr w:rsidR="00343473">
        <w:trPr>
          <w:jc w:val="center"/>
        </w:trPr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Показник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Великі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Середні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Малі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Мікро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</w:tr>
      <w:tr w:rsidR="00343473">
        <w:trPr>
          <w:jc w:val="center"/>
        </w:trPr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3473">
        <w:trPr>
          <w:jc w:val="center"/>
        </w:trPr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Питома вага групи у загальній кількості, відсотків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Щодо видачі інструментів державного регулювання у сфері лісокористування.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обрахування показників враховано інформацію щодо кількості діючих суб’єктів господарювання за видами економічної діяльності у 2024 році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лісівництво та інша діяльність у лісовому господарстві, лісозаготівлі)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склала 2146 суб’єктів господарювання. </w:t>
      </w:r>
    </w:p>
    <w:p w:rsidR="00343473" w:rsidRDefault="003434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e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1290"/>
        <w:gridCol w:w="1350"/>
        <w:gridCol w:w="1305"/>
        <w:gridCol w:w="1290"/>
        <w:gridCol w:w="1425"/>
      </w:tblGrid>
      <w:tr w:rsidR="00343473">
        <w:trPr>
          <w:jc w:val="center"/>
        </w:trPr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473" w:rsidRDefault="00793E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Показник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473" w:rsidRDefault="00793E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Великі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473" w:rsidRDefault="00793E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Середні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473" w:rsidRDefault="00793E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Малі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473" w:rsidRDefault="00793E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Мікро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473" w:rsidRDefault="00793E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</w:tr>
      <w:tr w:rsidR="00343473">
        <w:trPr>
          <w:trHeight w:val="280"/>
          <w:jc w:val="center"/>
        </w:trPr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spacing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Кількість суб’єктів господарювання, що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підпадають під дію регулювання у сфері лісокористування</w:t>
            </w:r>
          </w:p>
          <w:p w:rsidR="00343473" w:rsidRDefault="00793EE8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КВЕД: 02.10, 02.20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2146</w:t>
            </w:r>
          </w:p>
        </w:tc>
      </w:tr>
      <w:tr w:rsidR="00343473">
        <w:trPr>
          <w:jc w:val="center"/>
        </w:trPr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473" w:rsidRDefault="00793EE8">
            <w:pPr>
              <w:spacing w:before="150" w:after="15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Питома вага групи у загальній кількості, відсотків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3570"/>
        <w:gridCol w:w="3570"/>
      </w:tblGrid>
      <w:tr w:rsidR="00343473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альтернативи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Вигоди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</w:t>
            </w:r>
          </w:p>
        </w:tc>
      </w:tr>
      <w:tr w:rsidR="00343473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Альтернатива 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Залишення наявної ситуації без змін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Залишається додаткове (зайве) регуляторне навантаження на бізнес, що не сприяє економічному розвитку.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 часові та фінансові на: 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пошук та опрацювання регуляторних актів, які містять застарілі та не актуальні обов’язкові вимоги у сфері господарської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іяльності;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пошук механізмів та процедур для виконання завідомо незаконних, не актуальних та застарілих регулювань;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підготовку та подання документів для отримання завідомо незаконних інструментів державного регулювання;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недоотримана вигода у підприємницькій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діяльності;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нереалізовані підприємницькі рішення та нові напрями діяльності, тощо. 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Припускається, що фінансові та часові витрати для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суб’єктів господарювання* складатимуть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85840 годин та близько 4,1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млн грн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щорічно у разі залишення в регуляторному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незаконних, неактуальних та застарілих інструментів державного регулювання. </w:t>
            </w:r>
          </w:p>
        </w:tc>
      </w:tr>
      <w:tr w:rsidR="00343473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Альтернатива 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проєкту акту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Зменшення адміністративного навантаження.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Очікуваний обсяг заощаджених фінансових та часових ресурсів суб’єктів господарювання від скасування інструментів державного регулювання через їх незаконність,  неактуальність та застарілість регулювання, складатиме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85840 годин та близько 4,1 млн грн.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вість направлення вивільнених часових і фінансових ресурсів на розвиток підприємницької діяльності.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 чіткого та прозорого регулювання.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Прогнозуються лише незначні витрати, виключно у перший рік регулювання на отримання первинної інформації про вим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оги регулювання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 грн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одного суб'єкта господарювання: всіма малими суб’єктами господарювання -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93 936 грн.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(Див. Додаток 1 до Аналізу регуляторного впливу); всіма великими та середніми суб’єктами господарювання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9 072 грн.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(Див. Додаток 2 до Аналізу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регуляторного впливу).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додаткові адміністративні витрати відсутні.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43473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Альтернатива 3.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підзаконних нормативно-правових актів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відповідність до вимог законодавства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Залишається додаткове (зайве) регуляторне навантаження на бізнес, що не сприяє економічному розвитку.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часові та фінансові на підготовку та подання документів для отримання інструментів державного регулювання. Припускається, що фінансові та часові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итрати для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суб’єктів господарювання у сфері лісокористування* складатимуть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68672 години та близько 3,3 млн грн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щорічно через існування додаткових інструментів державного регулювання.</w:t>
            </w:r>
          </w:p>
        </w:tc>
      </w:tr>
    </w:tbl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Для розрахунків за основу бралися:</w:t>
      </w:r>
    </w:p>
    <w:p w:rsidR="00343473" w:rsidRDefault="00793E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Дані Державної служби статистики України (https://www.ukrstat.gov.ua/), а саме кількість діючих суб’єктів господарювання за видами економічної діяльності у 2024 році (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лісівництво та інша діяльність у лісовому господарстві, лісозаготівлі)</w:t>
      </w:r>
      <w:r>
        <w:rPr>
          <w:rFonts w:ascii="Times New Roman" w:eastAsia="Times New Roman" w:hAnsi="Times New Roman" w:cs="Times New Roman"/>
          <w:sz w:val="20"/>
          <w:szCs w:val="20"/>
        </w:rPr>
        <w:t>, що склала 2146 су</w:t>
      </w:r>
      <w:r>
        <w:rPr>
          <w:rFonts w:ascii="Times New Roman" w:eastAsia="Times New Roman" w:hAnsi="Times New Roman" w:cs="Times New Roman"/>
          <w:sz w:val="20"/>
          <w:szCs w:val="20"/>
        </w:rPr>
        <w:t>б’єктів господарювання.</w:t>
      </w:r>
    </w:p>
    <w:p w:rsidR="00343473" w:rsidRDefault="00793E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Дані по кількості інструментів державного регулювання, які пропонуються до скасування -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інструментів у сфері лісокористування та надрокористування.</w:t>
      </w:r>
    </w:p>
    <w:p w:rsidR="00343473" w:rsidRDefault="00793E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Для розрахунку фінансових та часових витрат бізнесу щодо скасованих інструментів з</w:t>
      </w:r>
      <w:r>
        <w:rPr>
          <w:rFonts w:ascii="Times New Roman" w:eastAsia="Times New Roman" w:hAnsi="Times New Roman" w:cs="Times New Roman"/>
          <w:sz w:val="20"/>
          <w:szCs w:val="20"/>
        </w:rPr>
        <w:t>а основу бралася середня кількість часу на пошук та опрацювання завідомо неактуальних або незаконних регуляторних вимог у різних сферах господарювання або на отримання роз'яснень у третіх осіб щодо процедури отримання адміністративних послуг, а також кільк</w:t>
      </w:r>
      <w:r>
        <w:rPr>
          <w:rFonts w:ascii="Times New Roman" w:eastAsia="Times New Roman" w:hAnsi="Times New Roman" w:cs="Times New Roman"/>
          <w:sz w:val="20"/>
          <w:szCs w:val="20"/>
        </w:rPr>
        <w:t>ість зекономленого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часу на підготовку та подачу документів для отримання одного інструменту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- 8 год та мінімальна вартість 1 години робочого часу, яка відповідно до Закону України “Про Державний бюджет України на 2025 рік”, з 1 січня 2025 року становить – </w:t>
      </w:r>
      <w:r>
        <w:rPr>
          <w:rFonts w:ascii="Times New Roman" w:eastAsia="Times New Roman" w:hAnsi="Times New Roman" w:cs="Times New Roman"/>
          <w:sz w:val="20"/>
          <w:szCs w:val="20"/>
        </w:rPr>
        <w:t>48 грн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</w:p>
    <w:p w:rsidR="00343473" w:rsidRDefault="00793EE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Загальні часові витрати суб’єктів господарювання складатиму: 8*5*2146 = 85840 год; фінансові витрати складатимуть: 8*48*5*2146 = 4 120 320 грн.</w:t>
      </w:r>
    </w:p>
    <w:p w:rsidR="00343473" w:rsidRDefault="00793EE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 разі приведення у відповідність до вимог законодавства 4 інструментів державного регулювання (в рамках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Альтернативи 3) загальні часові витрати суб’єктів господарювання складатиму: 8*4*2146 = 68672 год; фінансові витрати складатимуть: 8*48*4*2146 = 3 296 256 грн.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 Вибір найбільш оптимального альтернативного способу досягнення цілей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результатами опрац</w:t>
      </w:r>
      <w:r>
        <w:rPr>
          <w:rFonts w:ascii="Times New Roman" w:eastAsia="Times New Roman" w:hAnsi="Times New Roman" w:cs="Times New Roman"/>
          <w:sz w:val="28"/>
          <w:szCs w:val="28"/>
        </w:rPr>
        <w:t>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Вартість балів визначається за чотирибальною системою оцінки ступеня досягнення визначених цілей, де: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4 - цілі прийняття регуляторного акта, які можуть бути досягнуті повною мірою (проблема більше існувати не буде);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3 - цілі прийняття регуляторного акта, я</w:t>
      </w:r>
      <w:r>
        <w:rPr>
          <w:rFonts w:ascii="Times New Roman" w:eastAsia="Times New Roman" w:hAnsi="Times New Roman" w:cs="Times New Roman"/>
          <w:sz w:val="28"/>
          <w:szCs w:val="28"/>
        </w:rPr>
        <w:t>кі можуть бути досягнуті майже  повною мірою (усі важливі аспекти проблеми існувати не будуть);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2 -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</w:t>
      </w:r>
      <w:r>
        <w:rPr>
          <w:rFonts w:ascii="Times New Roman" w:eastAsia="Times New Roman" w:hAnsi="Times New Roman" w:cs="Times New Roman"/>
          <w:sz w:val="28"/>
          <w:szCs w:val="28"/>
        </w:rPr>
        <w:t>ирішеними);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1 - цілі прийняття регуляторного акта, які не можуть бути досягнуті (проблема продовжує існувати).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935"/>
        <w:gridCol w:w="4950"/>
      </w:tblGrid>
      <w:tr w:rsidR="00343473">
        <w:tc>
          <w:tcPr>
            <w:tcW w:w="247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 результативності (за чотирибальною системою оцінки)</w:t>
            </w:r>
          </w:p>
        </w:tc>
        <w:tc>
          <w:tcPr>
            <w:tcW w:w="495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Коментарі щодо присвоєння відповідного бала</w:t>
            </w:r>
          </w:p>
        </w:tc>
      </w:tr>
      <w:tr w:rsidR="00343473">
        <w:tc>
          <w:tcPr>
            <w:tcW w:w="247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Альтернатива 1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(залишення наявної ситуації без змін)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Ця альтернатива не вирішує описані проблеми, що існують у регуляторному середовищі.</w:t>
            </w:r>
          </w:p>
        </w:tc>
      </w:tr>
      <w:tr w:rsidR="00343473">
        <w:tc>
          <w:tcPr>
            <w:tcW w:w="247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Альтернатива 2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(прийняття проєкту акту)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5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Дана альтернатива вирішує описану проблему та дозволить, зокрема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оптимізувати процедури надання адміністративних послуг, зменшити регуляторне та фінансове навантаження на бізнес. </w:t>
            </w:r>
          </w:p>
        </w:tc>
      </w:tr>
      <w:tr w:rsidR="00343473">
        <w:tc>
          <w:tcPr>
            <w:tcW w:w="247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Альтернатива 3.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підзаконних нормативно-правових актів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відповідність до вимог законодавства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Ця альтернатива не в повній мірі вирішує описані проблеми, що існують у регуляторному середовищі.</w:t>
            </w:r>
          </w:p>
        </w:tc>
      </w:tr>
    </w:tbl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1"/>
        <w:tblW w:w="94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235"/>
        <w:gridCol w:w="2355"/>
        <w:gridCol w:w="2535"/>
      </w:tblGrid>
      <w:tr w:rsidR="00343473">
        <w:tc>
          <w:tcPr>
            <w:tcW w:w="228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Рейтинг результативності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Вигоди (підсумок)</w:t>
            </w:r>
          </w:p>
        </w:tc>
        <w:tc>
          <w:tcPr>
            <w:tcW w:w="235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 (підсумок)</w:t>
            </w:r>
          </w:p>
        </w:tc>
        <w:tc>
          <w:tcPr>
            <w:tcW w:w="253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Обґрунтування відповідного місця альтернативи у рейтингу</w:t>
            </w:r>
          </w:p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473">
        <w:tc>
          <w:tcPr>
            <w:tcW w:w="228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Альтернатива 2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(прийняття проєкту акту)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Для держави: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Забезпечення прозорого та ефективного регулювання. Можливе збільшення надходжень до Державного бюджету України за рахунок можливих інвестицій, створення нових робочих місць тощо.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Приведення у відповідність чинних нормативно-правових актів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регуляторного 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рактеру.</w:t>
            </w:r>
          </w:p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Для суб’єктів господарювання: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Зменшення адміністративного навантаження.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Очікуваний обсяг заощаджених фінансових та часових ресурсів суб’єктів господарювання від скасування інструментів державного регулювання через їх незаконність,  неактуальність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застарілість регулювання, складатиме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85840 годин та близько 4,1 млн грн.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Можливість направлення вивільнених часових і фінансових ресурсів на розвиток підприємницької діяльності.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 чіткого та прозорого регулювання.</w:t>
            </w:r>
          </w:p>
        </w:tc>
        <w:tc>
          <w:tcPr>
            <w:tcW w:w="235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Для держави: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межах коштів, передбачених у Державному бюджеті України у відповідному році на фінансування органів влади.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Забезпечить скорочення часових витрат для фахівців органів виконавчої влади на адміністрування процедур надання адміністративних послуг.</w:t>
            </w:r>
          </w:p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Для суб’є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ктів господарювання: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Прогнозуються лише незначні витрати, виключно у перший рік регулювання на отримання первинної інформації про вимоги регулювання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 грн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одного суб'єкта господарювання: 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всіма малими суб’єктами господарювання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93 936 грн.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(Див. Дод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аток 1 до Аналізу регуляторного впливу);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всіма великими та середніми суб’єктами господарювання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9 072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грн.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(Див. Додаток 2 до Аналізу регуляторного впливу).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додаткові адміністративні витрати відсутні.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 разі прийняття акта задекларовані цілі будуть досягнуті повною мірою, що повністю забезпечить вирішення проблем.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Забезпечить заощадження фінансових та часових ресурсів суб’єктів господарювання та скорочення часових витрат для фахівців органів виконавчої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 на адміністрування процедур надання адміністративних послуг.</w:t>
            </w:r>
          </w:p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473">
        <w:tc>
          <w:tcPr>
            <w:tcW w:w="228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Альтернатива 1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(залишення наявної ситуації без змін)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Для держави: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Залишається додаткове (зайве) регуляторне навантаження на бізнес, що не сприяє економічному розвитку держави.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Залишаються застарілі та неактуальні інструменти регулювання, які обтяжують законодавчі норми дозвільної системи.</w:t>
            </w:r>
          </w:p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Для суб’єктів господарювання: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Залишається додаткове (зайве) регуляторне навантаження на бізнес, що не сприяє економічному розвитку.</w:t>
            </w:r>
          </w:p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Для держави: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часу, людських та матеріальних ресурсів на адміністрування інструментів регулювання, які не актуальні на даний час.</w:t>
            </w:r>
          </w:p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Для суб’єктів господарювання: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 часові та фінансові на: 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пошук та опрацювання регуляторних актів, які містять застарілі та не актуальні обов’язкові вимоги у сфері господарської діяльності;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пошук механізмів та процедур для виконання завідомо незаконних, не актуальних та застарілих регулювань;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підготовку та поданн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документів для отримання завідомо незаконних інструментів державного регулювання;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недоотримана вигода у підприємницькій діяльності;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нереалізовані підприємницькі рішення та нові напрями діяльності, тощо. 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Припускається, що фінансові та часові витрати для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суб’єктів господарювання* складатимуть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85840 годин та близько 4,1 млн грн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щорічно у разі залишення в регуляторному полі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незаконних, неактуальних та застарілих інструментів державного регулювання. </w:t>
            </w:r>
          </w:p>
        </w:tc>
        <w:tc>
          <w:tcPr>
            <w:tcW w:w="253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 разі залишення наявної ситуації без змін проблеми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родовжуватимуть існувати, що не забезпечить досягнення зазначених цілей.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забезпечить зменшення часових та фінансових витрат  на пошук та опрацювання регуляторних актів, які містять застарілі та не актуальні обов’язкові вимоги у сфері господарської діяль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ності;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пошук механізмів та процедур для виконання завідомо незаконних, не актуальних та застарілих регулювань;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підготовку та подання документів для отримання завідомо незаконних інструментів державного регулювання.</w:t>
            </w:r>
          </w:p>
        </w:tc>
      </w:tr>
      <w:tr w:rsidR="00343473">
        <w:tc>
          <w:tcPr>
            <w:tcW w:w="228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Альтернатива 3.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підзаконних нормативно-правових актів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відповідність до вимог законодавства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Для держави: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Залишається додаткове (зайве) регуляторне навантаження на бізнес, що не сприяє економічному розвитку держави.</w:t>
            </w:r>
          </w:p>
          <w:p w:rsidR="00343473" w:rsidRDefault="003434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Для суб’єктів господарювання: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Залиш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ається додаткове (зайве) регуляторне навантаження на бізнес, що не сприяє економічному розвитку.</w:t>
            </w:r>
          </w:p>
        </w:tc>
        <w:tc>
          <w:tcPr>
            <w:tcW w:w="235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Для держави: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адміністрування процедур надання адміністративних послуг.</w:t>
            </w:r>
          </w:p>
          <w:p w:rsidR="00343473" w:rsidRDefault="003434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Для суб’єктів господарювання: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 часові та фінансові на підготовку та подання документів для отримання інструментів державного регулювання.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Припускається, що фінансові та часові витрати для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суб’єктів господарювання у сфері лісокористування* складатимуть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68672 години та 3,3 мл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 грн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щорічно через існування додаткових інструментів державного регулювання.</w:t>
            </w:r>
          </w:p>
        </w:tc>
        <w:tc>
          <w:tcPr>
            <w:tcW w:w="253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 разі прийняття акта задекларовані цілі будуть досягнуті частково.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Проблема, пов’язана з регуляторним навантаженням на бізнес продовжуватиме існувати.</w:t>
            </w:r>
          </w:p>
        </w:tc>
      </w:tr>
    </w:tbl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473" w:rsidRDefault="0034347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2"/>
        <w:tblW w:w="94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4200"/>
      </w:tblGrid>
      <w:tr w:rsidR="00343473">
        <w:trPr>
          <w:trHeight w:val="58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Сумарні витрати за альтернативами</w:t>
            </w:r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Сума витрат, гривень</w:t>
            </w:r>
          </w:p>
        </w:tc>
      </w:tr>
      <w:tr w:rsidR="00343473">
        <w:trPr>
          <w:trHeight w:val="43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3473">
        <w:trPr>
          <w:trHeight w:val="37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держави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оцінюються</w:t>
            </w:r>
          </w:p>
        </w:tc>
      </w:tr>
      <w:tr w:rsidR="00343473">
        <w:trPr>
          <w:trHeight w:val="72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с/г великого та середнього підприємництва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343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4,1 млн грн</w:t>
            </w:r>
          </w:p>
        </w:tc>
      </w:tr>
      <w:tr w:rsidR="00343473">
        <w:trPr>
          <w:trHeight w:val="58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с/г малого та мікро-підприємництва</w:t>
            </w:r>
          </w:p>
        </w:tc>
        <w:tc>
          <w:tcPr>
            <w:tcW w:w="42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343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473">
        <w:trPr>
          <w:trHeight w:val="45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2.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343473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473">
        <w:trPr>
          <w:trHeight w:val="58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держави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прогнозуються</w:t>
            </w:r>
          </w:p>
        </w:tc>
      </w:tr>
      <w:tr w:rsidR="00343473">
        <w:trPr>
          <w:trHeight w:val="79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с/г великого та середнього підприємництва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9 072  грн.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3473">
        <w:trPr>
          <w:trHeight w:val="75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с/г малого та мікро-підприємництва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93 936 грн.</w:t>
            </w:r>
          </w:p>
        </w:tc>
      </w:tr>
      <w:tr w:rsidR="00343473">
        <w:trPr>
          <w:trHeight w:val="45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343473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43473">
        <w:trPr>
          <w:trHeight w:val="51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держави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оцінюються</w:t>
            </w:r>
          </w:p>
        </w:tc>
      </w:tr>
      <w:tr w:rsidR="00343473">
        <w:trPr>
          <w:trHeight w:val="90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с/г великого та середнього підприємництва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343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3473" w:rsidRDefault="00343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3,3 млн грн</w:t>
            </w:r>
          </w:p>
        </w:tc>
      </w:tr>
      <w:tr w:rsidR="00343473">
        <w:trPr>
          <w:trHeight w:val="78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793EE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Витрати с/г малого та мікро-підприємництва</w:t>
            </w:r>
          </w:p>
        </w:tc>
        <w:tc>
          <w:tcPr>
            <w:tcW w:w="42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3473" w:rsidRDefault="00343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3473" w:rsidRDefault="00343473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473" w:rsidRDefault="00343473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3"/>
        <w:tblW w:w="94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4170"/>
        <w:gridCol w:w="2370"/>
      </w:tblGrid>
      <w:tr w:rsidR="00343473">
        <w:tc>
          <w:tcPr>
            <w:tcW w:w="289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417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37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343473">
        <w:tc>
          <w:tcPr>
            <w:tcW w:w="289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Альтернатива 2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(прийняття проєкту акту)</w:t>
            </w:r>
          </w:p>
        </w:tc>
        <w:tc>
          <w:tcPr>
            <w:tcW w:w="417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є прийнятною, оскільки вирішення вказаних проблем дозволить створити умови для можливого збільшення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надходжень до Державного Бюджету України за рахунок можливих інвестицій, створення нових робочих місць; 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прозоре та ефективне регул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ювання.</w:t>
            </w:r>
          </w:p>
        </w:tc>
        <w:tc>
          <w:tcPr>
            <w:tcW w:w="237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343473">
        <w:tc>
          <w:tcPr>
            <w:tcW w:w="289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Альтернатива 1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(залишення наявної ситуації без змін)</w:t>
            </w:r>
          </w:p>
        </w:tc>
        <w:tc>
          <w:tcPr>
            <w:tcW w:w="417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є неприйнятною, оскільки залишається значна кількість не актуальних, економічно не обгрунтованих та недоцільних інструментів державного регулювання. Це негативно впливає на започаткування провадження господарської діяльності суб’єктами господа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рювання та їх виходу на відповідні ринки, що є вкрай неприйнятним для економіки держави, яка знаходиться в умовах воєнного стану.</w:t>
            </w:r>
          </w:p>
        </w:tc>
        <w:tc>
          <w:tcPr>
            <w:tcW w:w="237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343473">
        <w:tc>
          <w:tcPr>
            <w:tcW w:w="2895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Альтернатива 3.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підзаконних нормативно-правових актів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відповідність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вимог законодавства</w:t>
            </w:r>
          </w:p>
        </w:tc>
        <w:tc>
          <w:tcPr>
            <w:tcW w:w="417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Альтернатива є неприйнятною, оскільки залишаються додаткові інструменти державного регулювання. Це негативно впливає на започаткування провадження господарської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діяльності суб’єктами господарювання.</w:t>
            </w:r>
          </w:p>
        </w:tc>
        <w:tc>
          <w:tcPr>
            <w:tcW w:w="2370" w:type="dxa"/>
            <w:shd w:val="clear" w:color="auto" w:fill="auto"/>
            <w:tcMar>
              <w:top w:w="0" w:type="dxa"/>
              <w:left w:w="81" w:type="dxa"/>
              <w:bottom w:w="0" w:type="dxa"/>
              <w:right w:w="108" w:type="dxa"/>
            </w:tcMar>
          </w:tcPr>
          <w:p w:rsidR="00343473" w:rsidRDefault="00793E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Відсутній</w:t>
            </w:r>
          </w:p>
        </w:tc>
      </w:tr>
    </w:tbl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 Механізми та заходи, які забезпечать розв’язання визначеної проблеми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473" w:rsidRDefault="00793E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Механізми, які забезпечать розв’язання проблеми:</w:t>
      </w:r>
    </w:p>
    <w:p w:rsidR="00343473" w:rsidRDefault="00793E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Механізмом, який забезпечує розв’язання визначеної проблеми, є внесення змін до нормативно-правових актів України, які забезпечують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авову регламентацію існування інструментів державного регулювання у зазначених сферах, а саме: </w:t>
      </w:r>
    </w:p>
    <w:p w:rsidR="00343473" w:rsidRDefault="00793E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внесення змін до Порядку спеціального використання лісових ресурсів, затвердженого постановою Кабінету Міністрів України від 23 травня 2007 року № 761;</w:t>
      </w:r>
    </w:p>
    <w:p w:rsidR="00343473" w:rsidRDefault="00793E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змін до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Положення про порядок видачі дозволів на спеціальне використання природних ресурсів у межах територій та об’єктів природно-заповідного фонду</w:t>
      </w:r>
      <w:r>
        <w:rPr>
          <w:rFonts w:ascii="Courier New" w:eastAsia="Courier New" w:hAnsi="Courier New" w:cs="Courier New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r>
        <w:rPr>
          <w:rFonts w:ascii="Courier New" w:eastAsia="Courier New" w:hAnsi="Courier New" w:cs="Courier New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</w:t>
      </w:r>
      <w:r>
        <w:rPr>
          <w:rFonts w:ascii="Courier New" w:eastAsia="Courier New" w:hAnsi="Courier New" w:cs="Courier New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Положення про порядок установлення лімітів використання природних ресурсів загальнодержавного значенн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я, затверджених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постановою Кабінету Міністрів України від 10 серпня 1992 року № 459 “Про порядок видачі дозволів на спеціальне використання природних ресурсів у межах територій та об'єктів природно-заповідного фонду і встановлення лімітів використання ресу</w:t>
      </w:r>
      <w:r>
        <w:rPr>
          <w:rFonts w:ascii="Times New Roman" w:eastAsia="Times New Roman" w:hAnsi="Times New Roman" w:cs="Times New Roman"/>
          <w:sz w:val="28"/>
          <w:szCs w:val="28"/>
        </w:rPr>
        <w:t>рсів загальнодержавного значення”.</w:t>
      </w:r>
    </w:p>
    <w:p w:rsidR="00343473" w:rsidRDefault="00343473">
      <w:pPr>
        <w:widowControl w:val="0"/>
        <w:spacing w:line="240" w:lineRule="auto"/>
        <w:ind w:firstLine="566"/>
        <w:jc w:val="both"/>
        <w:rPr>
          <w:rFonts w:ascii="Courier New" w:eastAsia="Courier New" w:hAnsi="Courier New" w:cs="Courier New"/>
          <w:color w:val="212529"/>
          <w:sz w:val="24"/>
          <w:szCs w:val="24"/>
          <w:highlight w:val="white"/>
        </w:rPr>
      </w:pPr>
    </w:p>
    <w:p w:rsidR="00343473" w:rsidRDefault="00793EE8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Організаційні заходи для впровадження регулювання: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Прийняття та оприлюднення регуляторного акту у встановленому порядку забезпечить доведення їх вимог до відома суб’єктів господарювання, органів виконавчої влади та органів місцевого самоврядування.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Прийняття проєкту акту забезпечує досягнення визначених 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 та сприятиме поліпшенню регуляторного середовища та інвестиційного клімату в Україні. 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Заходи, які необхідно здійснити суб’єктам господарювання: </w:t>
      </w:r>
      <w:r>
        <w:rPr>
          <w:rFonts w:ascii="Times New Roman" w:eastAsia="Times New Roman" w:hAnsi="Times New Roman" w:cs="Times New Roman"/>
          <w:sz w:val="28"/>
          <w:szCs w:val="28"/>
        </w:rPr>
        <w:t>ознайомитися з новим регулюванням (пошук та опрацювання регуляторного акту в мережі Інтернет).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 Оцінка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473" w:rsidRDefault="00793E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регуляторного акта не потр</w:t>
      </w:r>
      <w:r>
        <w:rPr>
          <w:rFonts w:ascii="Times New Roman" w:eastAsia="Times New Roman" w:hAnsi="Times New Roman" w:cs="Times New Roman"/>
          <w:sz w:val="28"/>
          <w:szCs w:val="28"/>
        </w:rPr>
        <w:t>ебуватиме додаткових бюджетних витрат і ресурсів.</w:t>
      </w:r>
    </w:p>
    <w:p w:rsidR="00343473" w:rsidRDefault="00793E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343473" w:rsidRDefault="00793E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Проведено розрахунок витрат суб’єктів малого підприємництва на виконання вимог регулювання згідно з додатком 4 до Методики проведення аналізу впливу регуляторного акта (Див. Додаток 1 до Аналізу регуляторного впливу).</w:t>
      </w:r>
    </w:p>
    <w:p w:rsidR="00343473" w:rsidRDefault="00793E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розрахунок витрат на одного </w:t>
      </w:r>
      <w:r>
        <w:rPr>
          <w:rFonts w:ascii="Times New Roman" w:eastAsia="Times New Roman" w:hAnsi="Times New Roman" w:cs="Times New Roman"/>
          <w:sz w:val="28"/>
          <w:szCs w:val="28"/>
        </w:rPr>
        <w:t>суб’єкта господарювання великого і середнього підприємництва згідно з додатком 2 до Методики проведення аналізу впливу регуляторного акта (Див. Додаток 2 до Аналізу регуляторного впливу).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VIІ. Обґрунтування запропонованого строку дії регуляторного акта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трок дії цього регуляторного акта встановлюється на необмежений термін, оскільки він регулює відносини, які мають пролонгований характер. Зміна строку дії регуляторного акта можлива в разі зміни міжнародно-правових актів чи законодавчих актів України вищої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юридичної сили на виконання яких розроблений цей проєкт регуляторного акта.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Враховуючи його актуальність, регуляторний акт набирає чинності з дня, наступного за днем його опублікування.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VIІІ. Визначення показників результативності дії регуляторного акта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Прогнозними значеннями показників результативності регуляторного акта є: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Розмір надходжень до державного та місцевих бюджетів і державних цільових фондів, пов’язаних із дією акта – прямих надходжень до державного бюджету не передбачається.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Кількість суб’єктів господарювання та/або фізичних осіб, на яких поширюватиметься дія акта: 2146 суб'єкти господарювання.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Розмір коштів і час, які витрачаються суб’єктами господарювання у зв’язку із виконанням вимог акта – низький.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Розмір коштів, які витра</w:t>
      </w:r>
      <w:r>
        <w:rPr>
          <w:rFonts w:ascii="Times New Roman" w:eastAsia="Times New Roman" w:hAnsi="Times New Roman" w:cs="Times New Roman"/>
          <w:sz w:val="28"/>
          <w:szCs w:val="28"/>
        </w:rPr>
        <w:t>чатимуться суб’єктом господарювання у зв’язку із виконанням вимог акта: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одного суб’єкта господарювання середнього, малого та мікро- підприємництва: 48 грн.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Кількість часу, який витрачатиметься суб’єктом господарювання у зв’язку із виконанням вимог акта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одного суб’єкта господарювання середнього, малого та мікро- підприємництва – 1 год.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Рівень поінформованості суб’єктів господарювання з основних положень акта – високий. Проєкт постанови та відповідний Аналіз регуляторного впливу оприлюднено на офіцій</w:t>
      </w:r>
      <w:r>
        <w:rPr>
          <w:rFonts w:ascii="Times New Roman" w:eastAsia="Times New Roman" w:hAnsi="Times New Roman" w:cs="Times New Roman"/>
          <w:sz w:val="28"/>
          <w:szCs w:val="28"/>
        </w:rPr>
        <w:t>ному веб-сайті Міндовкілля (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https://mepr.gov.ua/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43473" w:rsidRDefault="00343473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Додатковими показниками результативності впровадження регуляторного акта, виходячи з його цілей, слугуватимуть: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473" w:rsidRDefault="00793EE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Кількість адміністративних послуг у сфері Міндовкіл</w:t>
      </w:r>
      <w:r>
        <w:rPr>
          <w:rFonts w:ascii="Times New Roman" w:eastAsia="Times New Roman" w:hAnsi="Times New Roman" w:cs="Times New Roman"/>
          <w:sz w:val="28"/>
          <w:szCs w:val="28"/>
        </w:rPr>
        <w:t>ля, які відповідно до законодавства надаються суб’єктам господарювання у відповідних сферах відносин.</w:t>
      </w:r>
    </w:p>
    <w:p w:rsidR="00343473" w:rsidRDefault="00793EE8">
      <w:pPr>
        <w:numPr>
          <w:ilvl w:val="0"/>
          <w:numId w:val="3"/>
        </w:numPr>
        <w:spacing w:line="240" w:lineRule="auto"/>
        <w:ind w:right="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Кількість суб’єктів господарювання, що потребують відповідної послуги.</w:t>
      </w:r>
    </w:p>
    <w:p w:rsidR="00343473" w:rsidRDefault="00793EE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Кількість залучених інвестицій.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Стосовно цього регуляторного акта буде послідовно здійснюватися базове, повторне та періодичне відстеження його результативності.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Базове відстеження результативності регуляторного акта буде здійснюватися через рік з дня набрання чинності цим актом шляхом збору пропозицій та зауважень, а також їх аналізу.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метою оцінки ступеня досягнення цим актом визначених цілей, повторне відстежен</w:t>
      </w:r>
      <w:r>
        <w:rPr>
          <w:rFonts w:ascii="Times New Roman" w:eastAsia="Times New Roman" w:hAnsi="Times New Roman" w:cs="Times New Roman"/>
          <w:sz w:val="28"/>
          <w:szCs w:val="28"/>
        </w:rPr>
        <w:t>ня результативності планується здійснити через рік після набуття ним чинності, в результаті якого відбудеться порівняння показників базового та повторного обстеження. У разі виявлення неврегульованих та проблемних питань шляхом аналізу значень показників д</w:t>
      </w:r>
      <w:r>
        <w:rPr>
          <w:rFonts w:ascii="Times New Roman" w:eastAsia="Times New Roman" w:hAnsi="Times New Roman" w:cs="Times New Roman"/>
          <w:sz w:val="28"/>
          <w:szCs w:val="28"/>
        </w:rPr>
        <w:t>ії цього акта, ці питання будуть врегульовані шляхом внесення відповідних змін.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Періодичне відстеження здійснюватиметься раз на три роки, починаючи з дня виконання заходів з повторного відстеження. Значення встановлених показників результативності акта буд</w:t>
      </w:r>
      <w:r>
        <w:rPr>
          <w:rFonts w:ascii="Times New Roman" w:eastAsia="Times New Roman" w:hAnsi="Times New Roman" w:cs="Times New Roman"/>
          <w:sz w:val="28"/>
          <w:szCs w:val="28"/>
        </w:rPr>
        <w:t>уть порівнюватися із значеннями аналогічних показників, що встановлені під час повторного відстеження.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проведення відстеження результативності регуляторного акта буде використовуватись статистичний метод, що передбачає використання статистичних даних.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Опитування цільових груп та залучення наукових установ для проведення відстеження результативності регуляторного акта не передбачаються.</w:t>
      </w:r>
    </w:p>
    <w:p w:rsidR="00343473" w:rsidRDefault="00793E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 виконання заходів 30 робочих днів.</w:t>
      </w:r>
    </w:p>
    <w:p w:rsidR="00343473" w:rsidRDefault="003434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bookmarkStart w:id="6" w:name="_heading=h.sx1xgmvh84iu" w:colFirst="0" w:colLast="0" w:displacedByCustomXml="next"/>
    <w:bookmarkEnd w:id="6" w:displacedByCustomXml="next"/>
    <w:sdt>
      <w:sdtPr>
        <w:tag w:val="goog_rdk_0"/>
        <w:id w:val="-753743187"/>
      </w:sdtPr>
      <w:sdtEndPr/>
      <w:sdtContent>
        <w:p w:rsidR="00343473" w:rsidRDefault="00793EE8">
          <w:pPr>
            <w:pStyle w:val="1"/>
            <w:keepNext w:val="0"/>
            <w:keepLines w:val="0"/>
            <w:spacing w:before="0" w:after="35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Міністр захисту довкілля</w:t>
          </w:r>
        </w:p>
      </w:sdtContent>
    </w:sdt>
    <w:p w:rsidR="00343473" w:rsidRDefault="00793EE8">
      <w:pPr>
        <w:spacing w:after="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 природних ресурсів України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Світлана ГРИНЧУК</w:t>
      </w:r>
    </w:p>
    <w:p w:rsidR="00343473" w:rsidRDefault="00343473">
      <w:pPr>
        <w:spacing w:after="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473" w:rsidRDefault="00793EE8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 2025 р.</w:t>
      </w:r>
    </w:p>
    <w:p w:rsidR="00343473" w:rsidRDefault="003434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43473" w:rsidRDefault="003434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br w:type="page"/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1 до Аналізу регуляторного впливу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малого підприємництва (М-Тест)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Консультації з представниками мікро – та малого підприємництва щодо оцінки впливу регулювання.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здійснення регулювання, проведено розробником 02.12.2024 - 01.01.2025.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4"/>
        <w:tblW w:w="94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465"/>
        <w:gridCol w:w="2070"/>
        <w:gridCol w:w="2835"/>
      </w:tblGrid>
      <w:tr w:rsidR="00343473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консультацій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учасників консультацій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Основні результати консультацій</w:t>
            </w:r>
          </w:p>
        </w:tc>
      </w:tr>
      <w:tr w:rsidR="00343473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Телефонні та письмові консультації із суб’єктами господарювання.</w:t>
            </w:r>
          </w:p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473" w:rsidRDefault="0034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Регулювання підтримується та вважається доцільним прийняття рішень щодо скорочення кількості інструментів державного регулювання у сфері бізнесу.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Отримано інформацію щодо переліку процедур, які необхідно виконати у зв’язку із запровадженням нового регулюва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ння: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ознайомитися з новим регулюванням – 1 год.</w:t>
            </w:r>
          </w:p>
        </w:tc>
      </w:tr>
    </w:tbl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Вимірювання впливу регулювання на суб’єктів малого підприємництва: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Кількість суб’єктів малого (мікро) підприємництва, на яких поширюється регулювання: 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щодо видачі інструментів державного регулювання у сфері лісокористування - </w:t>
      </w:r>
      <w:r>
        <w:rPr>
          <w:rFonts w:ascii="Times New Roman" w:eastAsia="Times New Roman" w:hAnsi="Times New Roman" w:cs="Times New Roman"/>
          <w:sz w:val="28"/>
          <w:szCs w:val="28"/>
        </w:rPr>
        <w:t>кількість суб’єктів малого та мікропідприємництва, на яких поширюється регулювання: 1957 (одиниць);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 сфері надрокористування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розрахунок витрат здійснюватиметься на одного умовного </w:t>
      </w:r>
      <w:r>
        <w:rPr>
          <w:rFonts w:ascii="Times New Roman" w:eastAsia="Times New Roman" w:hAnsi="Times New Roman" w:cs="Times New Roman"/>
          <w:sz w:val="28"/>
          <w:szCs w:val="28"/>
        </w:rPr>
        <w:t>суб’єкта господарювання малого підприємництва, оскільки, враховуючи те, що суб’єкти господарювання у своїй діяльності можуть отримувати більше ніж одну адміністративну послугу в різних сферах господарської діяльності, неможливо встановити їх точну кількіст</w:t>
      </w:r>
      <w:r>
        <w:rPr>
          <w:rFonts w:ascii="Times New Roman" w:eastAsia="Times New Roman" w:hAnsi="Times New Roman" w:cs="Times New Roman"/>
          <w:sz w:val="28"/>
          <w:szCs w:val="28"/>
        </w:rPr>
        <w:t>ь.</w:t>
      </w:r>
    </w:p>
    <w:p w:rsidR="00343473" w:rsidRDefault="00793EE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Питома вага суб’єктів малого та мікропідприємництва у загальній кількості суб'єктів господарювання, на яких проблема справляє вплив - 91,2 %.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Розрахунок витрат суб’єкта малого підприємництва на виконання вимог регулювання.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розрахунку вартості 1 </w:t>
      </w:r>
      <w:r>
        <w:rPr>
          <w:rFonts w:ascii="Times New Roman" w:eastAsia="Times New Roman" w:hAnsi="Times New Roman" w:cs="Times New Roman"/>
          <w:sz w:val="28"/>
          <w:szCs w:val="28"/>
        </w:rPr>
        <w:t>години роботи використано вартість 1 години роботи, яка відповідно до Закону України “Про Державний бюджет України на 2025 рік”, з 1 січня 2025 року становить – 48 грн.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Первинна інформація про вимоги регулювання може бути отримана за результатами пошуку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оєкту постанови Кабінету Міністрів України “Про внесення змін до деяких постанов Кабінету Міністрів України щодо скасування неактуальних інструментів державного регулювання у сфері охорони навколишнього природного середовища” на офіційному веб-порталі Мінд</w:t>
      </w:r>
      <w:r>
        <w:rPr>
          <w:rFonts w:ascii="Times New Roman" w:eastAsia="Times New Roman" w:hAnsi="Times New Roman" w:cs="Times New Roman"/>
          <w:sz w:val="28"/>
          <w:szCs w:val="28"/>
        </w:rPr>
        <w:t>овкілля.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Інформація про розмір часу, який витрачається суб’єктами на отримання зазначеної інформації є оціночною.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Розрахунок витрат суб’єктів малого підприємництва на виконання вимог регулювання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5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2790"/>
        <w:gridCol w:w="2295"/>
        <w:gridCol w:w="105"/>
        <w:gridCol w:w="1740"/>
        <w:gridCol w:w="105"/>
        <w:gridCol w:w="1635"/>
      </w:tblGrid>
      <w:tr w:rsidR="00343473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 оцінки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перший рік (стартовий рік впровадження регулювання)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Періодичні (за наступний рік)</w:t>
            </w:r>
          </w:p>
        </w:tc>
        <w:tc>
          <w:tcPr>
            <w:tcW w:w="17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Витрати за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п’ять років</w:t>
            </w:r>
          </w:p>
        </w:tc>
      </w:tr>
      <w:tr w:rsidR="00343473">
        <w:tc>
          <w:tcPr>
            <w:tcW w:w="948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343473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473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Процедури повірки та/або постановки на відповідний облік у визначеному органі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державної влади чи місцевого самоврядування</w:t>
            </w:r>
          </w:p>
        </w:tc>
        <w:tc>
          <w:tcPr>
            <w:tcW w:w="2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 w:firstLine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473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473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3473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процедури:</w:t>
            </w:r>
          </w:p>
        </w:tc>
        <w:tc>
          <w:tcPr>
            <w:tcW w:w="2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473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Разом, гривень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Формула: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(сума рядків 1 + 2 + 3 + 4 + 5)</w:t>
            </w:r>
          </w:p>
        </w:tc>
        <w:tc>
          <w:tcPr>
            <w:tcW w:w="2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3473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суб’єктів господарювання, що повинні виконати вимоги регулювання, одиниць.</w:t>
            </w:r>
          </w:p>
        </w:tc>
        <w:tc>
          <w:tcPr>
            <w:tcW w:w="2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1957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343473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Сумарно, гривень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Формула: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відповідний стовпчик “разом” Х 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2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6"/>
        <w:tblW w:w="9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285"/>
        <w:gridCol w:w="2040"/>
        <w:gridCol w:w="1905"/>
        <w:gridCol w:w="1440"/>
      </w:tblGrid>
      <w:tr w:rsidR="00343473">
        <w:tc>
          <w:tcPr>
            <w:tcW w:w="94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Оцінка вартості адміністративних процедур суб’єктів малого підприємництва щодо виконання регулювання</w:t>
            </w:r>
          </w:p>
        </w:tc>
      </w:tr>
      <w:tr w:rsidR="00343473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Процедури отримання первинної інформації про вимоги регулювання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Формула: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(час, який витрачається с/г на пошук нормативно-правового акту в мережі Інтернет та ознайомлення з ним; за результатами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консультацій) Х 48 грн. =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грн.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0,00 грн.</w:t>
            </w:r>
          </w:p>
          <w:p w:rsidR="00343473" w:rsidRDefault="00793EE8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(припущено, що суб’єкт повинен виконувати вимоги регулювання лише в перший рік; за результа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тами консультацій)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-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грн.</w:t>
            </w:r>
          </w:p>
          <w:p w:rsidR="00343473" w:rsidRDefault="00793EE8">
            <w:pPr>
              <w:spacing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473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Процедури організації виконання вимог регулювання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Формула:</w:t>
            </w:r>
          </w:p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473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Процедури офіційного звітування.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473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Процедури щодо забезпечення процесу перевірок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473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процедури: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473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Разом, гривень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грн.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-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грн.</w:t>
            </w:r>
          </w:p>
        </w:tc>
      </w:tr>
      <w:tr w:rsidR="00343473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суб’єктів малого підприємництва, що повинні виконати вимоги регулювання, одиниць.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1957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-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3473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Сумарно, гривень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93 936 грн.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грн.</w:t>
            </w:r>
          </w:p>
        </w:tc>
      </w:tr>
    </w:tbl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43473" w:rsidRDefault="00793EE8">
      <w:pPr>
        <w:spacing w:line="240" w:lineRule="auto"/>
        <w:ind w:right="1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Додаткові витрати на виконання вимог регуляторного акту з боку органів виконавчої влади або органів місцевого самоврядування відсутні.</w:t>
      </w:r>
    </w:p>
    <w:p w:rsidR="00343473" w:rsidRDefault="00793EE8">
      <w:pPr>
        <w:spacing w:line="240" w:lineRule="auto"/>
        <w:ind w:right="1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Витрати на виконання вимог регуляторного акту з боку органів виконавчої влади або органів місцевого самоврядування будуть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відповідати витратам на заробітну плату співробітників, які за функціональними обов’язками уже здійснюють та в подальшому здійснюватимуть відповідні заходи.</w:t>
      </w:r>
    </w:p>
    <w:p w:rsidR="00343473" w:rsidRDefault="00793EE8">
      <w:pPr>
        <w:spacing w:line="240" w:lineRule="auto"/>
        <w:ind w:right="13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Державне регулювання не передбачає утворення нового державного органу або нового структурного підр</w:t>
      </w:r>
      <w:r>
        <w:rPr>
          <w:rFonts w:ascii="Times New Roman" w:eastAsia="Times New Roman" w:hAnsi="Times New Roman" w:cs="Times New Roman"/>
          <w:sz w:val="28"/>
          <w:szCs w:val="28"/>
        </w:rPr>
        <w:t>озділу діючого органу.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4. Розрахунок сумарних витрат суб’єктів малого підприємництва, що виникають на виконання вимог регулювання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Style w:val="aff7"/>
        <w:tblW w:w="9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3495"/>
        <w:gridCol w:w="2130"/>
        <w:gridCol w:w="1965"/>
      </w:tblGrid>
      <w:tr w:rsidR="0034347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Порядковий номер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Показник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Перший рік регулювання (стартовий)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За п’ять років</w:t>
            </w:r>
          </w:p>
        </w:tc>
      </w:tr>
      <w:tr w:rsidR="0034347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0,00 грн.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0,00 грн.</w:t>
            </w:r>
          </w:p>
        </w:tc>
      </w:tr>
      <w:tr w:rsidR="0034347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93 936 грн.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грн.</w:t>
            </w:r>
          </w:p>
        </w:tc>
      </w:tr>
      <w:tr w:rsidR="0034347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Сумарні витрати малого підприємництва на виконання запланованого  регулювання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93 936 грн.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</w:p>
        </w:tc>
      </w:tr>
      <w:tr w:rsidR="0034347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Бюджетні витрати  на адміністрування регулювання суб’єктів малого підприємництва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0,00 грн.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0,00 грн.</w:t>
            </w:r>
          </w:p>
        </w:tc>
      </w:tr>
      <w:tr w:rsidR="00343473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Сумарні витрати на виконання запланованого регулювання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93 936 грн.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грн.</w:t>
            </w:r>
          </w:p>
        </w:tc>
      </w:tr>
    </w:tbl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 Розроблення коригуючих (пом’якшувальних) заходів для малого підприємництва щодо запропонованого регулювання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343473" w:rsidRDefault="00793E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 передбачається розроблення коригуючих заходів, оскільки нове регулювання спрямоване виключно на скасування не актуальних, недоцільних інструментів державного регулювання у сфері господарської діяльності або їх оптимізація та відповідно зменшення фінансо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вого навантаження на бізнес.</w:t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43473" w:rsidRDefault="00793EE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343473" w:rsidRDefault="00793EE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2 до Аналізу регуляторного впливу</w:t>
      </w:r>
    </w:p>
    <w:p w:rsidR="00343473" w:rsidRDefault="003434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473" w:rsidRDefault="00793E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Витрати на одного суб’єкта господарювання великого і середнього підприємництва, які виникають внаслідок дії регуляторного акта</w:t>
      </w:r>
    </w:p>
    <w:p w:rsidR="00343473" w:rsidRDefault="003434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8"/>
        <w:tblW w:w="95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150"/>
        <w:gridCol w:w="2565"/>
        <w:gridCol w:w="3015"/>
      </w:tblGrid>
      <w:tr w:rsidR="00343473">
        <w:trPr>
          <w:trHeight w:val="69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Витрати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перший рік</w:t>
            </w:r>
          </w:p>
        </w:tc>
        <w:tc>
          <w:tcPr>
            <w:tcW w:w="3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п’ять років</w:t>
            </w:r>
          </w:p>
        </w:tc>
      </w:tr>
      <w:tr w:rsidR="00343473">
        <w:trPr>
          <w:trHeight w:val="240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(час, який витрачається с/г на пошук нормативно-правового акту в мережі Інтернет та ознайомлення з ним) Х 48 грн. =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грн.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грн.</w:t>
            </w:r>
          </w:p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(припущено, що суб’єкт повинен виконувати вимоги регу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лише в перший рік; за результатами консультацій)</w:t>
            </w:r>
          </w:p>
        </w:tc>
      </w:tr>
      <w:tr w:rsidR="00343473">
        <w:trPr>
          <w:trHeight w:val="103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Процедури організації виконання вимог регулювання.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3473">
        <w:trPr>
          <w:trHeight w:val="75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 (сума рядків: 1+2+3), гривень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грн.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грн.</w:t>
            </w:r>
          </w:p>
        </w:tc>
      </w:tr>
      <w:tr w:rsidR="00343473">
        <w:trPr>
          <w:trHeight w:val="154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3473">
        <w:trPr>
          <w:trHeight w:val="187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 х рядок 4), гривень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9 072 грн.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грн.</w:t>
            </w:r>
          </w:p>
        </w:tc>
      </w:tr>
    </w:tbl>
    <w:p w:rsidR="00343473" w:rsidRDefault="003434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ff9"/>
        <w:tblW w:w="95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2670"/>
        <w:gridCol w:w="2925"/>
      </w:tblGrid>
      <w:tr w:rsidR="00343473">
        <w:trPr>
          <w:trHeight w:val="1335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Вид витрат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Витрати на сплату податків та зборів (змінених/ нововведених) (за рік)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Витрати за п’ять років</w:t>
            </w:r>
          </w:p>
        </w:tc>
      </w:tr>
      <w:tr w:rsidR="00343473">
        <w:trPr>
          <w:trHeight w:val="1200"/>
        </w:trPr>
        <w:tc>
          <w:tcPr>
            <w:tcW w:w="3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передбачені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передбачені</w:t>
            </w:r>
          </w:p>
        </w:tc>
      </w:tr>
    </w:tbl>
    <w:p w:rsidR="00343473" w:rsidRDefault="00793E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tbl>
      <w:tblPr>
        <w:tblStyle w:val="affa"/>
        <w:tblW w:w="95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1905"/>
        <w:gridCol w:w="1815"/>
        <w:gridCol w:w="1590"/>
        <w:gridCol w:w="1380"/>
      </w:tblGrid>
      <w:tr w:rsidR="00343473">
        <w:trPr>
          <w:trHeight w:val="171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Вид витрат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Витрати на ведення обліку, підготовку та подання звітності (за рік)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Витрати на оплату штрафних санкцій за рік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Разом за рік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Витрати за п’ять років</w:t>
            </w:r>
          </w:p>
        </w:tc>
      </w:tr>
      <w:tr w:rsidR="00343473">
        <w:trPr>
          <w:trHeight w:val="1665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передбачені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передбачені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передбачені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передбачені</w:t>
            </w:r>
          </w:p>
        </w:tc>
      </w:tr>
    </w:tbl>
    <w:p w:rsidR="00343473" w:rsidRDefault="00793E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tbl>
      <w:tblPr>
        <w:tblStyle w:val="affb"/>
        <w:tblW w:w="94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1905"/>
        <w:gridCol w:w="1815"/>
        <w:gridCol w:w="1620"/>
        <w:gridCol w:w="1365"/>
      </w:tblGrid>
      <w:tr w:rsidR="00343473">
        <w:trPr>
          <w:trHeight w:val="2235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Вид витрат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Витрати на адміністрування заходів державного нагляду (контролю)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(за рік)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Витрати на оплату штрафних санкцій та усунення виявлених порушень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br/>
              <w:t xml:space="preserve"> (за рік)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Періодичні (за наступні роки)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Витрати за п’ять років</w:t>
            </w:r>
          </w:p>
        </w:tc>
      </w:tr>
      <w:tr w:rsidR="00343473">
        <w:trPr>
          <w:trHeight w:val="1965"/>
        </w:trPr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передбачені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передбачені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передбачені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передбачені</w:t>
            </w:r>
          </w:p>
        </w:tc>
      </w:tr>
    </w:tbl>
    <w:p w:rsidR="00343473" w:rsidRDefault="003434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ffc"/>
        <w:tblW w:w="9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935"/>
        <w:gridCol w:w="1770"/>
        <w:gridCol w:w="1650"/>
        <w:gridCol w:w="1350"/>
      </w:tblGrid>
      <w:tr w:rsidR="00343473">
        <w:trPr>
          <w:trHeight w:val="2265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Вид витрат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Періодичні (за наступні роки)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Витрати за п’ять років</w:t>
            </w:r>
          </w:p>
        </w:tc>
      </w:tr>
      <w:tr w:rsidR="00343473">
        <w:trPr>
          <w:trHeight w:val="3345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Витрати на отримання адміністративних послуг (дозволів, ліцензій, сертифікатів, атестатів, погоджень, висновків, проведення незалежних/ обов’язкових експертиз, сертифікації, атестації тощо) та інших послуг (проведення наукових, інших експертиз, страхування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тощо)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Відсутні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Відсутні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Відсутні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Відсутні</w:t>
            </w:r>
          </w:p>
        </w:tc>
      </w:tr>
    </w:tbl>
    <w:p w:rsidR="00343473" w:rsidRDefault="003434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ffd"/>
        <w:tblW w:w="94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1965"/>
        <w:gridCol w:w="2115"/>
        <w:gridCol w:w="2580"/>
      </w:tblGrid>
      <w:tr w:rsidR="00343473">
        <w:trPr>
          <w:trHeight w:val="66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Вид витрат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За рік (стартовий)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Періодичні (за наступний рік)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Витрати за п’ять років</w:t>
            </w:r>
          </w:p>
        </w:tc>
      </w:tr>
      <w:tr w:rsidR="00343473">
        <w:trPr>
          <w:trHeight w:val="1305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передбачені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передбачені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передбачені</w:t>
            </w:r>
          </w:p>
        </w:tc>
      </w:tr>
    </w:tbl>
    <w:p w:rsidR="00343473" w:rsidRDefault="003434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ffe"/>
        <w:tblW w:w="94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3150"/>
        <w:gridCol w:w="3510"/>
      </w:tblGrid>
      <w:tr w:rsidR="00343473">
        <w:trPr>
          <w:trHeight w:val="975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Вид витрат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Витрати на оплату праці додатково найманого персоналу (за рік)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Витрати за п’ять років</w:t>
            </w:r>
          </w:p>
        </w:tc>
      </w:tr>
      <w:tr w:rsidR="00343473">
        <w:trPr>
          <w:trHeight w:val="1110"/>
        </w:trPr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Витрати, пов’язані із найманням додаткового персоналу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передбачені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343473" w:rsidRDefault="00793E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передбачені</w:t>
            </w:r>
          </w:p>
        </w:tc>
      </w:tr>
    </w:tbl>
    <w:p w:rsidR="00343473" w:rsidRDefault="00793EE8">
      <w:pPr>
        <w:shd w:val="clear" w:color="auto" w:fill="FFFFFF"/>
        <w:spacing w:after="220" w:line="351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43473" w:rsidRDefault="00343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sectPr w:rsidR="00343473">
      <w:headerReference w:type="default" r:id="rId9"/>
      <w:pgSz w:w="11909" w:h="16834"/>
      <w:pgMar w:top="850" w:right="710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EE8" w:rsidRDefault="00793EE8">
      <w:pPr>
        <w:spacing w:line="240" w:lineRule="auto"/>
      </w:pPr>
      <w:r>
        <w:separator/>
      </w:r>
    </w:p>
  </w:endnote>
  <w:endnote w:type="continuationSeparator" w:id="0">
    <w:p w:rsidR="00793EE8" w:rsidRDefault="00793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EE8" w:rsidRDefault="00793EE8">
      <w:pPr>
        <w:spacing w:line="240" w:lineRule="auto"/>
      </w:pPr>
      <w:r>
        <w:separator/>
      </w:r>
    </w:p>
  </w:footnote>
  <w:footnote w:type="continuationSeparator" w:id="0">
    <w:p w:rsidR="00793EE8" w:rsidRDefault="00793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73" w:rsidRDefault="00343473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</w:rPr>
    </w:pPr>
  </w:p>
  <w:p w:rsidR="00343473" w:rsidRDefault="00793EE8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AC5D9A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C5D9A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343473" w:rsidRDefault="00343473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36B0"/>
    <w:multiLevelType w:val="multilevel"/>
    <w:tmpl w:val="818E85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6400AC"/>
    <w:multiLevelType w:val="multilevel"/>
    <w:tmpl w:val="0EA4E63C"/>
    <w:lvl w:ilvl="0">
      <w:start w:val="1"/>
      <w:numFmt w:val="upperRoman"/>
      <w:lvlText w:val="%1."/>
      <w:lvlJc w:val="righ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1FE0025E"/>
    <w:multiLevelType w:val="multilevel"/>
    <w:tmpl w:val="F64A17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850C1D"/>
    <w:multiLevelType w:val="multilevel"/>
    <w:tmpl w:val="CF84A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1E2697"/>
    <w:multiLevelType w:val="multilevel"/>
    <w:tmpl w:val="3AB6D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25627EA"/>
    <w:multiLevelType w:val="multilevel"/>
    <w:tmpl w:val="E1E47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7A09A8"/>
    <w:multiLevelType w:val="multilevel"/>
    <w:tmpl w:val="611A92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73"/>
    <w:rsid w:val="00343473"/>
    <w:rsid w:val="00793EE8"/>
    <w:rsid w:val="00AC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EF1E0-ED23-430D-8B13-97F30F72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pr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FlfRoNMj7Vy2uk0lLd04ApOpSw==">CgMxLjAaDQoBMBIICgYIBTICCAEyCGguZ2pkZ3hzMgloLjMwajB6bGwyCWguMWZvYjl0ZTIJaC4zem55c2g3MgloLjJldDkycDAyDmguc3gxeGdtdmg4NGl1OAByITFLZVFvRWVPd3ZMTE9kSmRpMHdPV2pQeXZCUEZOZ2dFdg==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31892</Words>
  <Characters>18179</Characters>
  <Application>Microsoft Office Word</Application>
  <DocSecurity>0</DocSecurity>
  <Lines>151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КОВАЛЬОВА Наталія Іванівна</dc:creator>
  <cp:lastModifiedBy>КОВАЛЬОВА Наталія Іванівна</cp:lastModifiedBy>
  <cp:revision>2</cp:revision>
  <dcterms:created xsi:type="dcterms:W3CDTF">2025-01-21T11:44:00Z</dcterms:created>
  <dcterms:modified xsi:type="dcterms:W3CDTF">2025-01-21T11:44:00Z</dcterms:modified>
</cp:coreProperties>
</file>