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C25" w:rsidRDefault="00AC7C25" w:rsidP="00AC7C25">
      <w:pPr>
        <w:pStyle w:val="1"/>
        <w:rPr>
          <w:rFonts w:eastAsia="Symbol"/>
        </w:rPr>
      </w:pPr>
      <w:bookmarkStart w:id="0" w:name="_Toc159356226"/>
      <w:r>
        <w:rPr>
          <w:rFonts w:eastAsia="Symbol"/>
        </w:rPr>
        <w:t>Повідо</w:t>
      </w:r>
      <w:bookmarkStart w:id="1" w:name="_GoBack"/>
      <w:bookmarkEnd w:id="1"/>
      <w:r>
        <w:rPr>
          <w:rFonts w:eastAsia="Symbol"/>
        </w:rPr>
        <w:t>млення про намір отримати дозвіл на викиди</w:t>
      </w:r>
      <w:bookmarkEnd w:id="0"/>
    </w:p>
    <w:p w:rsidR="00AC7C25" w:rsidRDefault="00AC7C25" w:rsidP="00AC7C25">
      <w:pPr>
        <w:shd w:val="clear" w:color="auto" w:fill="FFFFFF"/>
        <w:spacing w:line="228" w:lineRule="auto"/>
        <w:jc w:val="both"/>
        <w:rPr>
          <w:rFonts w:eastAsia="Times New Roman"/>
          <w:color w:val="333333"/>
          <w:lang w:val="uk-UA" w:eastAsia="uk-UA"/>
        </w:rPr>
      </w:pPr>
      <w:r>
        <w:rPr>
          <w:rFonts w:eastAsia="Times New Roman"/>
          <w:i/>
          <w:color w:val="333333"/>
          <w:lang w:val="uk-UA" w:eastAsia="uk-UA"/>
        </w:rPr>
        <w:t>Повне та скорочене найменування суб’єкта господарювання:</w:t>
      </w:r>
      <w:r>
        <w:rPr>
          <w:rFonts w:eastAsia="Times New Roman"/>
          <w:color w:val="333333"/>
          <w:lang w:val="uk-UA" w:eastAsia="uk-UA"/>
        </w:rPr>
        <w:t xml:space="preserve"> </w:t>
      </w:r>
      <w:r>
        <w:rPr>
          <w:szCs w:val="26"/>
          <w:lang w:val="uk-UA"/>
        </w:rPr>
        <w:t>КОМУНАЛЬНЕ НЕКОМЕРЦІЙНЕ ПІДПРИЄМСТВО ХАРКІВСЬКОЇ ОБЛАСНОЇ РАДИ «ОБЛАСНА КЛІНІЧНА ЛІКАРНЯ»</w:t>
      </w:r>
      <w:r>
        <w:rPr>
          <w:rFonts w:eastAsia="Times New Roman"/>
          <w:color w:val="333333"/>
          <w:lang w:val="uk-UA" w:eastAsia="uk-UA"/>
        </w:rPr>
        <w:t>,</w:t>
      </w:r>
    </w:p>
    <w:p w:rsidR="00AC7C25" w:rsidRDefault="00AC7C25" w:rsidP="00AC7C25">
      <w:pPr>
        <w:shd w:val="clear" w:color="auto" w:fill="FFFFFF"/>
        <w:spacing w:line="228" w:lineRule="auto"/>
        <w:jc w:val="both"/>
        <w:rPr>
          <w:rFonts w:eastAsia="Times New Roman"/>
          <w:color w:val="333333"/>
          <w:lang w:val="uk-UA" w:eastAsia="uk-UA"/>
        </w:rPr>
      </w:pPr>
      <w:r>
        <w:rPr>
          <w:rFonts w:eastAsia="Times New Roman"/>
          <w:color w:val="333333"/>
          <w:lang w:val="uk-UA" w:eastAsia="uk-UA"/>
        </w:rPr>
        <w:t>КНП ХОР «ОКЛ»</w:t>
      </w:r>
    </w:p>
    <w:p w:rsidR="00AC7C25" w:rsidRDefault="00AC7C25" w:rsidP="00AC7C25">
      <w:pPr>
        <w:shd w:val="clear" w:color="auto" w:fill="FFFFFF"/>
        <w:spacing w:line="228" w:lineRule="auto"/>
        <w:jc w:val="both"/>
        <w:rPr>
          <w:rFonts w:eastAsia="Times New Roman"/>
          <w:color w:val="333333"/>
          <w:lang w:val="uk-UA" w:eastAsia="uk-UA"/>
        </w:rPr>
      </w:pPr>
      <w:bookmarkStart w:id="2" w:name="n58"/>
      <w:bookmarkEnd w:id="2"/>
      <w:r>
        <w:rPr>
          <w:rFonts w:eastAsia="Times New Roman"/>
          <w:i/>
          <w:color w:val="333333"/>
          <w:lang w:val="uk-UA" w:eastAsia="uk-UA"/>
        </w:rPr>
        <w:t>Ідентифікаційний код юридичної особи в ЄДРПОУ</w:t>
      </w:r>
      <w:r>
        <w:rPr>
          <w:rFonts w:eastAsia="Times New Roman"/>
          <w:color w:val="333333"/>
          <w:lang w:val="uk-UA" w:eastAsia="uk-UA"/>
        </w:rPr>
        <w:t xml:space="preserve"> – </w:t>
      </w:r>
      <w:r>
        <w:rPr>
          <w:lang w:val="uk-UA"/>
        </w:rPr>
        <w:t>02003563</w:t>
      </w:r>
    </w:p>
    <w:p w:rsidR="00AC7C25" w:rsidRDefault="00AC7C25" w:rsidP="00AC7C25">
      <w:pPr>
        <w:spacing w:line="228" w:lineRule="auto"/>
        <w:jc w:val="both"/>
        <w:rPr>
          <w:rFonts w:eastAsia="Times New Roman"/>
          <w:color w:val="333333"/>
          <w:lang w:val="uk-UA" w:eastAsia="uk-UA"/>
        </w:rPr>
      </w:pPr>
      <w:bookmarkStart w:id="3" w:name="n59"/>
      <w:bookmarkEnd w:id="3"/>
      <w:r>
        <w:rPr>
          <w:rFonts w:eastAsia="Times New Roman"/>
          <w:i/>
          <w:color w:val="333333"/>
          <w:lang w:val="uk-UA" w:eastAsia="uk-UA"/>
        </w:rPr>
        <w:t>Місцезнаходження суб’єкта господарювання</w:t>
      </w:r>
      <w:r>
        <w:rPr>
          <w:rFonts w:eastAsia="Times New Roman"/>
          <w:color w:val="333333"/>
          <w:lang w:val="uk-UA" w:eastAsia="uk-UA"/>
        </w:rPr>
        <w:t xml:space="preserve">: </w:t>
      </w:r>
      <w:r>
        <w:rPr>
          <w:lang w:val="uk-UA"/>
        </w:rPr>
        <w:t>61058, Харківська обл., м. Харків, пр. Незалежності, буд. 13</w:t>
      </w:r>
      <w:r>
        <w:rPr>
          <w:rFonts w:eastAsia="Times New Roman"/>
          <w:color w:val="333333"/>
          <w:lang w:val="uk-UA" w:eastAsia="uk-UA"/>
        </w:rPr>
        <w:t xml:space="preserve">; </w:t>
      </w:r>
      <w:proofErr w:type="spellStart"/>
      <w:r>
        <w:rPr>
          <w:rFonts w:eastAsia="Times New Roman"/>
          <w:color w:val="333333"/>
          <w:lang w:val="uk-UA" w:eastAsia="uk-UA"/>
        </w:rPr>
        <w:t>к.т</w:t>
      </w:r>
      <w:proofErr w:type="spellEnd"/>
      <w:r>
        <w:rPr>
          <w:rFonts w:eastAsia="Times New Roman"/>
          <w:color w:val="333333"/>
          <w:lang w:val="uk-UA" w:eastAsia="uk-UA"/>
        </w:rPr>
        <w:t xml:space="preserve">.: </w:t>
      </w:r>
      <w:r>
        <w:rPr>
          <w:rFonts w:eastAsia="Times New Roman"/>
          <w:color w:val="333333"/>
          <w:lang w:eastAsia="uk-UA"/>
        </w:rPr>
        <w:t>(057) 705-01-95</w:t>
      </w:r>
      <w:proofErr w:type="gramStart"/>
      <w:r>
        <w:rPr>
          <w:rFonts w:eastAsia="Times New Roman"/>
          <w:color w:val="333333"/>
          <w:lang w:eastAsia="uk-UA"/>
        </w:rPr>
        <w:t>,e</w:t>
      </w:r>
      <w:proofErr w:type="gramEnd"/>
      <w:r>
        <w:rPr>
          <w:rFonts w:eastAsia="Times New Roman"/>
          <w:color w:val="333333"/>
          <w:lang w:eastAsia="uk-UA"/>
        </w:rPr>
        <w:t xml:space="preserve">-mail: </w:t>
      </w:r>
      <w:hyperlink r:id="rId4" w:tgtFrame="_blank" w:history="1">
        <w:r>
          <w:rPr>
            <w:rStyle w:val="a3"/>
            <w:color w:val="333333"/>
            <w:lang w:eastAsia="uk-UA"/>
          </w:rPr>
          <w:t>hokb07@ukr.net</w:t>
        </w:r>
      </w:hyperlink>
    </w:p>
    <w:p w:rsidR="00AC7C25" w:rsidRDefault="00AC7C25" w:rsidP="00AC7C25">
      <w:pPr>
        <w:shd w:val="clear" w:color="auto" w:fill="FFFFFF"/>
        <w:spacing w:line="228" w:lineRule="auto"/>
        <w:jc w:val="both"/>
        <w:rPr>
          <w:rFonts w:eastAsia="Times New Roman"/>
          <w:color w:val="333333"/>
          <w:lang w:val="uk-UA" w:eastAsia="uk-UA"/>
        </w:rPr>
      </w:pPr>
      <w:bookmarkStart w:id="4" w:name="n60"/>
      <w:bookmarkEnd w:id="4"/>
      <w:r>
        <w:rPr>
          <w:rFonts w:eastAsia="Times New Roman"/>
          <w:i/>
          <w:color w:val="333333"/>
          <w:lang w:val="uk-UA" w:eastAsia="uk-UA"/>
        </w:rPr>
        <w:t xml:space="preserve">Місцезнаходження об’єкта: </w:t>
      </w:r>
      <w:r>
        <w:rPr>
          <w:lang w:val="uk-UA"/>
        </w:rPr>
        <w:t>61058, Харківська обл., м. Харків, пр. Незалежності, буд. 13</w:t>
      </w:r>
      <w:r>
        <w:rPr>
          <w:rFonts w:eastAsia="Times New Roman"/>
          <w:color w:val="333333"/>
          <w:lang w:val="uk-UA" w:eastAsia="uk-UA"/>
        </w:rPr>
        <w:t>.</w:t>
      </w:r>
    </w:p>
    <w:p w:rsidR="00AC7C25" w:rsidRDefault="00AC7C25" w:rsidP="00AC7C25">
      <w:pPr>
        <w:shd w:val="clear" w:color="auto" w:fill="FFFFFF"/>
        <w:spacing w:line="228" w:lineRule="auto"/>
        <w:jc w:val="both"/>
        <w:rPr>
          <w:rFonts w:eastAsia="Times New Roman"/>
          <w:color w:val="333333"/>
          <w:lang w:val="uk-UA" w:eastAsia="uk-UA"/>
        </w:rPr>
      </w:pPr>
      <w:bookmarkStart w:id="5" w:name="n61"/>
      <w:bookmarkEnd w:id="5"/>
      <w:r>
        <w:rPr>
          <w:rFonts w:eastAsia="Times New Roman"/>
          <w:i/>
          <w:lang w:val="uk-UA" w:eastAsia="uk-UA"/>
        </w:rPr>
        <w:t>Мета отримання дозволу на викиди</w:t>
      </w:r>
      <w:r>
        <w:rPr>
          <w:rFonts w:eastAsia="Times New Roman"/>
          <w:lang w:val="uk-UA" w:eastAsia="uk-UA"/>
        </w:rPr>
        <w:t xml:space="preserve"> –</w:t>
      </w:r>
      <w:bookmarkStart w:id="6" w:name="n62"/>
      <w:bookmarkEnd w:id="6"/>
      <w:r>
        <w:rPr>
          <w:rFonts w:eastAsia="Times New Roman"/>
          <w:lang w:val="uk-UA" w:eastAsia="uk-UA"/>
        </w:rPr>
        <w:t xml:space="preserve"> </w:t>
      </w:r>
      <w:r>
        <w:rPr>
          <w:rFonts w:eastAsia="Times New Roman"/>
          <w:color w:val="333333"/>
          <w:lang w:val="uk-UA" w:eastAsia="uk-UA"/>
        </w:rPr>
        <w:t>отримання права здійснювати експлуатацію об’єкту, з якого в атмосферне повітря надходять забруднюючі речовини або їх суміші.</w:t>
      </w:r>
    </w:p>
    <w:p w:rsidR="00AC7C25" w:rsidRDefault="00AC7C25" w:rsidP="00AC7C25">
      <w:pPr>
        <w:shd w:val="clear" w:color="auto" w:fill="FFFFFF"/>
        <w:spacing w:line="228" w:lineRule="auto"/>
        <w:jc w:val="both"/>
        <w:rPr>
          <w:rFonts w:eastAsia="Times New Roman"/>
          <w:color w:val="333333"/>
          <w:lang w:val="uk-UA" w:eastAsia="uk-UA"/>
        </w:rPr>
      </w:pPr>
      <w:r>
        <w:rPr>
          <w:rFonts w:eastAsia="Times New Roman"/>
          <w:i/>
          <w:color w:val="333333"/>
          <w:lang w:val="uk-UA" w:eastAsia="uk-UA"/>
        </w:rPr>
        <w:t xml:space="preserve">Відомості про наявність висновку з оцінки впливу на довкілля: </w:t>
      </w:r>
      <w:r>
        <w:rPr>
          <w:rFonts w:eastAsia="Times New Roman"/>
          <w:color w:val="333333"/>
          <w:lang w:val="uk-UA" w:eastAsia="uk-UA"/>
        </w:rPr>
        <w:t>Відповідно до ЗУ</w:t>
      </w:r>
      <w:r>
        <w:rPr>
          <w:rFonts w:eastAsia="Times New Roman"/>
          <w:i/>
          <w:color w:val="333333"/>
          <w:lang w:val="uk-UA" w:eastAsia="uk-UA"/>
        </w:rPr>
        <w:t xml:space="preserve"> </w:t>
      </w:r>
      <w:r>
        <w:rPr>
          <w:rFonts w:eastAsia="Times New Roman"/>
          <w:color w:val="333333"/>
          <w:lang w:val="uk-UA" w:eastAsia="uk-UA"/>
        </w:rPr>
        <w:t>«Про оцінку впливу на довкілля» КНП ХОР «ОКЛ» не підлягає оцінці впливу на довкілля, оскільки не здійснює діяльність, яка підпадає під дію цього закону (лікарняний комплекс).</w:t>
      </w:r>
    </w:p>
    <w:p w:rsidR="00AC7C25" w:rsidRDefault="00AC7C25" w:rsidP="00AC7C25">
      <w:pPr>
        <w:shd w:val="clear" w:color="auto" w:fill="FFFFFF"/>
        <w:spacing w:line="228" w:lineRule="auto"/>
        <w:jc w:val="both"/>
        <w:rPr>
          <w:rFonts w:eastAsia="Times New Roman"/>
          <w:i/>
          <w:color w:val="333333"/>
          <w:lang w:val="uk-UA" w:eastAsia="uk-UA"/>
        </w:rPr>
      </w:pPr>
      <w:bookmarkStart w:id="7" w:name="n63"/>
      <w:bookmarkEnd w:id="7"/>
      <w:r>
        <w:rPr>
          <w:rFonts w:eastAsia="Times New Roman"/>
          <w:i/>
          <w:color w:val="333333"/>
          <w:lang w:val="uk-UA" w:eastAsia="uk-UA"/>
        </w:rPr>
        <w:t>Загальний опис об’єкта (опис виробництв та технологічного устаткування):</w:t>
      </w:r>
    </w:p>
    <w:p w:rsidR="00AC7C25" w:rsidRDefault="00AC7C25" w:rsidP="00AC7C25">
      <w:pPr>
        <w:jc w:val="both"/>
        <w:rPr>
          <w:lang w:val="uk-UA"/>
        </w:rPr>
      </w:pPr>
      <w:bookmarkStart w:id="8" w:name="n64"/>
      <w:bookmarkEnd w:id="8"/>
      <w:r>
        <w:rPr>
          <w:lang w:val="uk-UA"/>
        </w:rPr>
        <w:t xml:space="preserve">Лікарняний комплекс закладу має в своєму складі навчально-діагностичний, хірургічний, лікувальний, лабораторний адміністративно-господарський корпуси, поліклініку, прозектуру, пологовий будинок, діагностичний центр, офтальмологічне відділення. На території комплексу також розташовані гуртожиток, харчоблок, гараж та котельна. Проведення аналізів в поліклінічному відділенні провадиться в лабораторіях, що обладнані витяжними шафами. Для дослідження внутрішніх органів та кісток в поліклініці встановлені рентген-апарати. В прозектурі проведення аналізів здійснюється в лабораторіях, обладнаних витяжними шафами. В діагностичному центрі встановлені томограф та рентген-апарат. Для дослідження внутрішніх органів та кісток в лікувальному корпусі встановлений рентген-апарат. В </w:t>
      </w:r>
      <w:proofErr w:type="spellStart"/>
      <w:r>
        <w:rPr>
          <w:lang w:val="uk-UA"/>
        </w:rPr>
        <w:t>начально</w:t>
      </w:r>
      <w:proofErr w:type="spellEnd"/>
      <w:r>
        <w:rPr>
          <w:lang w:val="uk-UA"/>
        </w:rPr>
        <w:t xml:space="preserve">-діагностичному корпусі для дослідження внутрішніх органів та кісток встановлені рентген-апарати та </w:t>
      </w:r>
      <w:proofErr w:type="spellStart"/>
      <w:r>
        <w:rPr>
          <w:lang w:val="uk-UA"/>
        </w:rPr>
        <w:t>ангіограф</w:t>
      </w:r>
      <w:proofErr w:type="spellEnd"/>
      <w:r>
        <w:rPr>
          <w:lang w:val="uk-UA"/>
        </w:rPr>
        <w:t>. Рентген-апарат також встановлений в хірургічному корпусі. На першому поверсі лікувального корпусу розташований кабінет комп’ютерної томографії (КТ), що оснащений комп’ютерним томографом</w:t>
      </w:r>
      <w:r>
        <w:rPr>
          <w:color w:val="000000"/>
          <w:lang w:val="uk-UA"/>
        </w:rPr>
        <w:t xml:space="preserve">. </w:t>
      </w:r>
      <w:r>
        <w:rPr>
          <w:lang w:val="uk-UA"/>
        </w:rPr>
        <w:t xml:space="preserve">Приготування їжі для пацієнтів здійснюється в харчовому блоці, обладнаному електропіччю на 6 секцій. Ремонтні роботи здійснюються в майстерні, що знаходиться у підвалі лікувального корпусу. Майстерня обладнана заточувальним верстатом та зварювальним постом. Автотранспорт та спецтехніка, що знаходяться на балансі закладу, зберігається на відкритому майданчику. Дрібний ремонт автотранспорту здійснюється в ремонтному боксі. Резервне електропостачання офтальмологічного, лікувального, хірургічного корпусів, прозектури та ремонтних боксів гаражу здійснюється від дизель-генераторів. Резервне теплопостачання лікарняного комплексу здійснюється від котельної, обладнаної котлом ПКУ-1,0 потужністю 1 </w:t>
      </w:r>
      <w:proofErr w:type="spellStart"/>
      <w:r>
        <w:rPr>
          <w:lang w:val="uk-UA"/>
        </w:rPr>
        <w:t>МВт</w:t>
      </w:r>
      <w:proofErr w:type="spellEnd"/>
      <w:r>
        <w:rPr>
          <w:lang w:val="uk-UA"/>
        </w:rPr>
        <w:t>.</w:t>
      </w:r>
    </w:p>
    <w:p w:rsidR="00AC7C25" w:rsidRDefault="00AC7C25" w:rsidP="00AC7C25">
      <w:pPr>
        <w:shd w:val="clear" w:color="auto" w:fill="FFFFFF"/>
        <w:spacing w:line="228" w:lineRule="auto"/>
        <w:ind w:firstLine="708"/>
        <w:jc w:val="both"/>
        <w:rPr>
          <w:rFonts w:eastAsia="Times New Roman"/>
          <w:color w:val="333333"/>
          <w:lang w:val="uk-UA" w:eastAsia="uk-UA"/>
        </w:rPr>
      </w:pPr>
      <w:r>
        <w:rPr>
          <w:rFonts w:eastAsia="Times New Roman"/>
          <w:i/>
          <w:color w:val="333333"/>
          <w:lang w:val="uk-UA" w:eastAsia="uk-UA"/>
        </w:rPr>
        <w:t xml:space="preserve">Відомості щодо видів та обсягів викидів. </w:t>
      </w:r>
      <w:r>
        <w:rPr>
          <w:rFonts w:eastAsia="Times New Roman"/>
          <w:color w:val="333333"/>
          <w:lang w:val="uk-UA" w:eastAsia="uk-UA"/>
        </w:rPr>
        <w:t xml:space="preserve">Загальна кількість забруднюючих речовин становить 146,5990 т/рік, у </w:t>
      </w:r>
      <w:proofErr w:type="spellStart"/>
      <w:r>
        <w:rPr>
          <w:rFonts w:eastAsia="Times New Roman"/>
          <w:color w:val="333333"/>
          <w:lang w:val="uk-UA" w:eastAsia="uk-UA"/>
        </w:rPr>
        <w:t>т.ч</w:t>
      </w:r>
      <w:proofErr w:type="spellEnd"/>
      <w:r>
        <w:rPr>
          <w:rFonts w:eastAsia="Times New Roman"/>
          <w:color w:val="333333"/>
          <w:lang w:val="uk-UA" w:eastAsia="uk-UA"/>
        </w:rPr>
        <w:t>.: кислота оцтова – 0,00164, кислота азотна</w:t>
      </w:r>
      <w:r>
        <w:rPr>
          <w:lang w:val="ru-RU"/>
        </w:rPr>
        <w:t xml:space="preserve"> </w:t>
      </w:r>
      <w:r>
        <w:rPr>
          <w:rFonts w:eastAsia="Times New Roman"/>
          <w:color w:val="333333"/>
          <w:lang w:val="uk-UA" w:eastAsia="uk-UA"/>
        </w:rPr>
        <w:t xml:space="preserve">за молекулою </w:t>
      </w:r>
      <w:proofErr w:type="spellStart"/>
      <w:r>
        <w:rPr>
          <w:rFonts w:eastAsia="Times New Roman"/>
          <w:color w:val="333333"/>
          <w:lang w:val="uk-UA" w:eastAsia="uk-UA"/>
        </w:rPr>
        <w:t>HNOз</w:t>
      </w:r>
      <w:proofErr w:type="spellEnd"/>
      <w:r>
        <w:rPr>
          <w:rFonts w:eastAsia="Times New Roman"/>
          <w:color w:val="333333"/>
          <w:lang w:val="uk-UA" w:eastAsia="uk-UA"/>
        </w:rPr>
        <w:t xml:space="preserve"> – 0,00031, озон – 0,00018, акролеїн – 0,0013, заліза оксид (у перерахунку на залізо) – 0,00012, марганець і його сполуки (у перерахунку на діоксид марганцю) – 0,000033, кремнію діоксид – 0,000035, титану оксид – 0,00001, оксиди азоту (оксид та діоксид азоту) в перерахунку на діоксид азоту – 0,90413, оксид вуглецю – 0,81809, </w:t>
      </w:r>
      <w:r>
        <w:rPr>
          <w:szCs w:val="20"/>
          <w:lang w:val="uk-UA"/>
        </w:rPr>
        <w:t>речовини у вигляді суспендованих твердих частинок недиференційованих за складом</w:t>
      </w:r>
      <w:r>
        <w:rPr>
          <w:rFonts w:eastAsia="Times New Roman"/>
          <w:color w:val="333333"/>
          <w:lang w:val="uk-UA" w:eastAsia="uk-UA"/>
        </w:rPr>
        <w:t xml:space="preserve"> – 0,05492, сірки діоксид – 0,07476, вуглеводні насичені C</w:t>
      </w:r>
      <w:r>
        <w:rPr>
          <w:rFonts w:eastAsia="Times New Roman"/>
          <w:color w:val="333333"/>
          <w:vertAlign w:val="subscript"/>
          <w:lang w:val="uk-UA" w:eastAsia="uk-UA"/>
        </w:rPr>
        <w:t>12</w:t>
      </w:r>
      <w:r>
        <w:rPr>
          <w:rFonts w:eastAsia="Times New Roman"/>
          <w:color w:val="333333"/>
          <w:lang w:val="uk-UA" w:eastAsia="uk-UA"/>
        </w:rPr>
        <w:t>-C</w:t>
      </w:r>
      <w:r>
        <w:rPr>
          <w:rFonts w:eastAsia="Times New Roman"/>
          <w:color w:val="333333"/>
          <w:vertAlign w:val="subscript"/>
          <w:lang w:val="uk-UA" w:eastAsia="uk-UA"/>
        </w:rPr>
        <w:t>19</w:t>
      </w:r>
      <w:r>
        <w:rPr>
          <w:rFonts w:eastAsia="Times New Roman"/>
          <w:color w:val="333333"/>
          <w:lang w:val="uk-UA" w:eastAsia="uk-UA"/>
        </w:rPr>
        <w:t xml:space="preserve"> (розчинник РПК-26511 та ін.) у перерахунку на сумарний органічний вуглець у перерахунку на сумарний органічний вуглець – 0,1914, формальдегід – 0,00755 метан - 0,007, азоту (1) оксид [N</w:t>
      </w:r>
      <w:r>
        <w:rPr>
          <w:rFonts w:eastAsia="Times New Roman"/>
          <w:color w:val="333333"/>
          <w:vertAlign w:val="subscript"/>
          <w:lang w:val="uk-UA" w:eastAsia="uk-UA"/>
        </w:rPr>
        <w:t>2</w:t>
      </w:r>
      <w:r>
        <w:rPr>
          <w:rFonts w:eastAsia="Times New Roman"/>
          <w:color w:val="333333"/>
          <w:lang w:val="uk-UA" w:eastAsia="uk-UA"/>
        </w:rPr>
        <w:t>О] – 0,0056, Вуглецю діоксид – 144,5319.</w:t>
      </w:r>
    </w:p>
    <w:p w:rsidR="00AC7C25" w:rsidRDefault="00AC7C25" w:rsidP="00AC7C25">
      <w:pPr>
        <w:shd w:val="clear" w:color="auto" w:fill="FFFFFF"/>
        <w:spacing w:line="228" w:lineRule="auto"/>
        <w:ind w:firstLine="708"/>
        <w:jc w:val="both"/>
        <w:rPr>
          <w:rFonts w:eastAsia="Times New Roman"/>
          <w:color w:val="333333"/>
          <w:lang w:val="uk-UA" w:eastAsia="uk-UA"/>
        </w:rPr>
      </w:pPr>
      <w:bookmarkStart w:id="9" w:name="n65"/>
      <w:bookmarkStart w:id="10" w:name="n69"/>
      <w:bookmarkEnd w:id="9"/>
      <w:bookmarkEnd w:id="10"/>
      <w:r>
        <w:rPr>
          <w:rFonts w:eastAsia="Times New Roman"/>
          <w:i/>
          <w:color w:val="333333"/>
          <w:lang w:val="uk-UA" w:eastAsia="uk-UA"/>
        </w:rPr>
        <w:t xml:space="preserve">Перелік заходів щодо скорочення викидів, що виконані або/та які потребують виконання: </w:t>
      </w:r>
      <w:r>
        <w:rPr>
          <w:rFonts w:eastAsia="Times New Roman"/>
          <w:color w:val="333333"/>
          <w:lang w:val="uk-UA" w:eastAsia="uk-UA"/>
        </w:rPr>
        <w:t>Заходи щодо скорочення викидів забруднюючих речовин не передбачаються.</w:t>
      </w:r>
    </w:p>
    <w:p w:rsidR="00AC7C25" w:rsidRDefault="00AC7C25" w:rsidP="00AC7C25">
      <w:pPr>
        <w:shd w:val="clear" w:color="auto" w:fill="FFFFFF"/>
        <w:spacing w:line="228" w:lineRule="auto"/>
        <w:ind w:firstLine="708"/>
        <w:jc w:val="both"/>
        <w:rPr>
          <w:rFonts w:eastAsia="Times New Roman"/>
          <w:color w:val="333333"/>
          <w:lang w:val="uk-UA" w:eastAsia="uk-UA"/>
        </w:rPr>
      </w:pPr>
      <w:r>
        <w:rPr>
          <w:rFonts w:eastAsia="Times New Roman"/>
          <w:i/>
          <w:color w:val="333333"/>
          <w:lang w:val="uk-UA" w:eastAsia="uk-UA"/>
        </w:rPr>
        <w:t xml:space="preserve">Дотримання виконання природоохоронних заходів щодо скорочення викидів: </w:t>
      </w:r>
      <w:r>
        <w:rPr>
          <w:rFonts w:eastAsia="Times New Roman"/>
          <w:color w:val="333333"/>
          <w:lang w:val="uk-UA" w:eastAsia="uk-UA"/>
        </w:rPr>
        <w:t>Визначені потужності викидів відповідають вимогам Наказу № 309 від 27.06.2006 р. та не перевищують нормативів ГДВ та гігієнічних нормативів на межах житлової зони. Природоохоронні заходи щодо скорочення викидів не розроблялися.</w:t>
      </w:r>
    </w:p>
    <w:p w:rsidR="00AC7C25" w:rsidRDefault="00AC7C25" w:rsidP="00AC7C25">
      <w:pPr>
        <w:shd w:val="clear" w:color="auto" w:fill="FFFFFF"/>
        <w:spacing w:line="228" w:lineRule="auto"/>
        <w:ind w:firstLine="708"/>
        <w:jc w:val="both"/>
        <w:rPr>
          <w:rFonts w:eastAsia="Times New Roman"/>
          <w:color w:val="333333"/>
          <w:lang w:val="uk-UA" w:eastAsia="uk-UA"/>
        </w:rPr>
      </w:pPr>
      <w:r>
        <w:rPr>
          <w:rFonts w:eastAsia="Times New Roman"/>
          <w:i/>
          <w:color w:val="333333"/>
          <w:lang w:val="uk-UA" w:eastAsia="uk-UA"/>
        </w:rPr>
        <w:t xml:space="preserve">Відповідність пропозицій щодо дозволених обсягів викидів законодавству: </w:t>
      </w:r>
      <w:r>
        <w:rPr>
          <w:rFonts w:eastAsia="Times New Roman"/>
          <w:color w:val="333333"/>
          <w:lang w:val="uk-UA" w:eastAsia="uk-UA"/>
        </w:rPr>
        <w:t>Пропозиції щодо дозволених обсягів відповідають вимогам Наказу № 309 від 27.06.2006 р.</w:t>
      </w:r>
    </w:p>
    <w:p w:rsidR="000224C2" w:rsidRDefault="00AC7C25" w:rsidP="00AC7C25">
      <w:pPr>
        <w:shd w:val="clear" w:color="auto" w:fill="FFFFFF"/>
        <w:spacing w:line="228" w:lineRule="auto"/>
        <w:ind w:firstLine="708"/>
        <w:jc w:val="both"/>
      </w:pPr>
      <w:r>
        <w:rPr>
          <w:rFonts w:eastAsia="Times New Roman"/>
          <w:color w:val="333333"/>
          <w:lang w:val="uk-UA" w:eastAsia="uk-UA"/>
        </w:rPr>
        <w:t>Зауваження та пропозиції громадськості щодо дозволу на викиди можуть надсилатися</w:t>
      </w:r>
      <w:bookmarkStart w:id="11" w:name="n70"/>
      <w:bookmarkEnd w:id="11"/>
      <w:r>
        <w:rPr>
          <w:rFonts w:eastAsia="Times New Roman"/>
          <w:color w:val="333333"/>
          <w:lang w:val="uk-UA" w:eastAsia="uk-UA"/>
        </w:rPr>
        <w:t xml:space="preserve"> до Харківської обласної військової адміністрації протягом 30 календарних днів з дня публікації повідомлення за </w:t>
      </w:r>
      <w:proofErr w:type="spellStart"/>
      <w:r>
        <w:rPr>
          <w:rFonts w:eastAsia="Times New Roman"/>
          <w:color w:val="333333"/>
          <w:lang w:val="uk-UA" w:eastAsia="uk-UA"/>
        </w:rPr>
        <w:t>адресою</w:t>
      </w:r>
      <w:proofErr w:type="spellEnd"/>
      <w:r>
        <w:rPr>
          <w:rFonts w:eastAsia="Times New Roman"/>
          <w:color w:val="333333"/>
          <w:lang w:val="uk-UA" w:eastAsia="uk-UA"/>
        </w:rPr>
        <w:t xml:space="preserve">: </w:t>
      </w:r>
      <w:smartTag w:uri="urn:schemas-microsoft-com:office:smarttags" w:element="metricconverter">
        <w:smartTagPr>
          <w:attr w:name="ProductID" w:val="61002, м"/>
        </w:smartTagPr>
        <w:r>
          <w:rPr>
            <w:rFonts w:eastAsia="Times New Roman"/>
            <w:color w:val="333333"/>
            <w:lang w:val="uk-UA" w:eastAsia="uk-UA"/>
          </w:rPr>
          <w:t>61002, м</w:t>
        </w:r>
      </w:smartTag>
      <w:r>
        <w:rPr>
          <w:rFonts w:eastAsia="Times New Roman"/>
          <w:color w:val="333333"/>
          <w:lang w:val="uk-UA" w:eastAsia="uk-UA"/>
        </w:rPr>
        <w:t xml:space="preserve">. Харків, вул. Сумська, 64; </w:t>
      </w:r>
      <w:hyperlink r:id="rId5" w:history="1">
        <w:r>
          <w:rPr>
            <w:rStyle w:val="a3"/>
            <w:lang w:val="uk-UA" w:eastAsia="uk-UA"/>
          </w:rPr>
          <w:t>obladm@kharkivoda.gov.ua</w:t>
        </w:r>
      </w:hyperlink>
      <w:r>
        <w:rPr>
          <w:rFonts w:eastAsia="Times New Roman"/>
          <w:color w:val="333333"/>
          <w:lang w:val="uk-UA" w:eastAsia="uk-UA"/>
        </w:rPr>
        <w:t xml:space="preserve"> або </w:t>
      </w:r>
      <w:hyperlink r:id="rId6" w:history="1">
        <w:r>
          <w:rPr>
            <w:rStyle w:val="a3"/>
            <w:lang w:val="uk-UA" w:eastAsia="uk-UA"/>
          </w:rPr>
          <w:t>upress@kharkivoda.gov.ua</w:t>
        </w:r>
      </w:hyperlink>
    </w:p>
    <w:sectPr w:rsidR="000224C2" w:rsidSect="00AC7C25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25"/>
    <w:rsid w:val="000224C2"/>
    <w:rsid w:val="00AC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062492"/>
  <w15:chartTrackingRefBased/>
  <w15:docId w15:val="{23F449B4-72B8-4A3C-BA30-17C8D918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C25"/>
    <w:pPr>
      <w:spacing w:after="0" w:line="240" w:lineRule="auto"/>
    </w:pPr>
    <w:rPr>
      <w:rFonts w:ascii="Times New Roman" w:eastAsia="Symbol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autoRedefine/>
    <w:qFormat/>
    <w:rsid w:val="00AC7C25"/>
    <w:pPr>
      <w:suppressAutoHyphens/>
      <w:spacing w:after="120"/>
      <w:jc w:val="center"/>
      <w:outlineLvl w:val="0"/>
    </w:pPr>
    <w:rPr>
      <w:rFonts w:eastAsia="Times New Roman"/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7C25"/>
    <w:rPr>
      <w:rFonts w:ascii="Times New Roman" w:eastAsia="Times New Roman" w:hAnsi="Times New Roman" w:cs="Times New Roman"/>
      <w:b/>
      <w:bCs/>
      <w:sz w:val="24"/>
      <w:szCs w:val="28"/>
    </w:rPr>
  </w:style>
  <w:style w:type="character" w:styleId="a3">
    <w:name w:val="Hyperlink"/>
    <w:uiPriority w:val="99"/>
    <w:semiHidden/>
    <w:unhideWhenUsed/>
    <w:rsid w:val="00AC7C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7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press@kharkivoda.gov.ua" TargetMode="External"/><Relationship Id="rId5" Type="http://schemas.openxmlformats.org/officeDocument/2006/relationships/hyperlink" Target="mailto:obladm@kharkivoda.gov.ua" TargetMode="External"/><Relationship Id="rId4" Type="http://schemas.openxmlformats.org/officeDocument/2006/relationships/hyperlink" Target="mailto:hokb07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2992</Words>
  <Characters>1707</Characters>
  <Application>Microsoft Office Word</Application>
  <DocSecurity>0</DocSecurity>
  <Lines>14</Lines>
  <Paragraphs>9</Paragraphs>
  <ScaleCrop>false</ScaleCrop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Сафронова</dc:creator>
  <cp:keywords/>
  <dc:description/>
  <cp:lastModifiedBy>Дарья Сафронова</cp:lastModifiedBy>
  <cp:revision>1</cp:revision>
  <dcterms:created xsi:type="dcterms:W3CDTF">2025-01-09T13:50:00Z</dcterms:created>
  <dcterms:modified xsi:type="dcterms:W3CDTF">2025-01-09T13:52:00Z</dcterms:modified>
</cp:coreProperties>
</file>