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52" w:rsidRPr="008045D4" w:rsidRDefault="00B71BFF" w:rsidP="008045D4">
      <w:pPr>
        <w:widowControl w:val="0"/>
        <w:tabs>
          <w:tab w:val="left" w:pos="1116"/>
          <w:tab w:val="left" w:pos="1418"/>
          <w:tab w:val="right" w:pos="9355"/>
        </w:tabs>
        <w:spacing w:after="0" w:line="240" w:lineRule="auto"/>
        <w:jc w:val="center"/>
        <w:rPr>
          <w:rFonts w:ascii="Times New Roman" w:eastAsia="Times New Roman" w:hAnsi="Times New Roman" w:cs="Times New Roman"/>
          <w:b/>
          <w:color w:val="000000"/>
          <w:sz w:val="28"/>
          <w:szCs w:val="28"/>
          <w:lang w:eastAsia="uk-UA"/>
        </w:rPr>
      </w:pPr>
      <w:r w:rsidRPr="008045D4">
        <w:rPr>
          <w:rFonts w:ascii="Times New Roman" w:eastAsia="Times New Roman" w:hAnsi="Times New Roman" w:cs="Times New Roman"/>
          <w:b/>
          <w:color w:val="000000"/>
          <w:sz w:val="28"/>
          <w:szCs w:val="28"/>
          <w:lang w:eastAsia="uk-UA"/>
        </w:rPr>
        <w:t>Звіт</w:t>
      </w:r>
      <w:r w:rsidR="009A098F" w:rsidRPr="008045D4">
        <w:rPr>
          <w:rFonts w:ascii="Times New Roman" w:eastAsia="Times New Roman" w:hAnsi="Times New Roman" w:cs="Times New Roman"/>
          <w:b/>
          <w:color w:val="000000"/>
          <w:sz w:val="28"/>
          <w:szCs w:val="28"/>
          <w:lang w:eastAsia="uk-UA"/>
        </w:rPr>
        <w:t xml:space="preserve"> </w:t>
      </w:r>
    </w:p>
    <w:p w:rsidR="009A098F" w:rsidRPr="008045D4" w:rsidRDefault="008B1AE8" w:rsidP="008045D4">
      <w:pPr>
        <w:widowControl w:val="0"/>
        <w:tabs>
          <w:tab w:val="left" w:pos="1116"/>
          <w:tab w:val="left" w:pos="1418"/>
          <w:tab w:val="right" w:pos="9355"/>
        </w:tabs>
        <w:spacing w:after="0" w:line="240" w:lineRule="auto"/>
        <w:jc w:val="center"/>
        <w:rPr>
          <w:rFonts w:ascii="Times New Roman" w:eastAsia="Times New Roman" w:hAnsi="Times New Roman" w:cs="Times New Roman"/>
          <w:b/>
          <w:bCs/>
          <w:color w:val="000000"/>
          <w:sz w:val="28"/>
          <w:szCs w:val="28"/>
          <w:lang w:eastAsia="uk-UA"/>
        </w:rPr>
      </w:pPr>
      <w:r w:rsidRPr="008045D4">
        <w:rPr>
          <w:rFonts w:ascii="Times New Roman" w:eastAsia="Times New Roman" w:hAnsi="Times New Roman" w:cs="Times New Roman"/>
          <w:b/>
          <w:color w:val="000000"/>
          <w:sz w:val="28"/>
          <w:szCs w:val="28"/>
          <w:lang w:eastAsia="uk-UA"/>
        </w:rPr>
        <w:t xml:space="preserve">щодо </w:t>
      </w:r>
      <w:r w:rsidR="00EF6E49" w:rsidRPr="008045D4">
        <w:rPr>
          <w:rFonts w:ascii="Times New Roman" w:eastAsia="Times New Roman" w:hAnsi="Times New Roman" w:cs="Times New Roman"/>
          <w:b/>
          <w:color w:val="000000"/>
          <w:sz w:val="28"/>
          <w:szCs w:val="28"/>
          <w:lang w:eastAsia="uk-UA"/>
        </w:rPr>
        <w:t xml:space="preserve">стану </w:t>
      </w:r>
      <w:r w:rsidRPr="008045D4">
        <w:rPr>
          <w:rFonts w:ascii="Times New Roman" w:eastAsia="Times New Roman" w:hAnsi="Times New Roman" w:cs="Times New Roman"/>
          <w:b/>
          <w:color w:val="000000"/>
          <w:sz w:val="28"/>
          <w:szCs w:val="28"/>
          <w:lang w:eastAsia="uk-UA"/>
        </w:rPr>
        <w:t xml:space="preserve">роботи із зверненнями </w:t>
      </w:r>
      <w:r w:rsidR="009A098F" w:rsidRPr="008045D4">
        <w:rPr>
          <w:rFonts w:ascii="Times New Roman" w:eastAsia="Times New Roman" w:hAnsi="Times New Roman" w:cs="Times New Roman"/>
          <w:b/>
          <w:color w:val="000000"/>
          <w:sz w:val="28"/>
          <w:szCs w:val="28"/>
          <w:lang w:eastAsia="uk-UA"/>
        </w:rPr>
        <w:t>громадян, що надійшли</w:t>
      </w:r>
      <w:r w:rsidR="00146E52" w:rsidRPr="008045D4">
        <w:rPr>
          <w:rFonts w:ascii="Times New Roman" w:eastAsia="Times New Roman" w:hAnsi="Times New Roman" w:cs="Times New Roman"/>
          <w:b/>
          <w:color w:val="000000"/>
          <w:sz w:val="28"/>
          <w:szCs w:val="28"/>
          <w:lang w:eastAsia="uk-UA"/>
        </w:rPr>
        <w:t xml:space="preserve"> до Міністерства захисту довкілля та природних ресурсів України</w:t>
      </w:r>
      <w:r w:rsidR="009A098F" w:rsidRPr="008045D4">
        <w:rPr>
          <w:rFonts w:ascii="Times New Roman" w:eastAsia="Times New Roman" w:hAnsi="Times New Roman" w:cs="Times New Roman"/>
          <w:b/>
          <w:color w:val="000000"/>
          <w:sz w:val="28"/>
          <w:szCs w:val="28"/>
          <w:lang w:eastAsia="uk-UA"/>
        </w:rPr>
        <w:t xml:space="preserve"> у 202</w:t>
      </w:r>
      <w:r w:rsidR="009316C5" w:rsidRPr="008045D4">
        <w:rPr>
          <w:rFonts w:ascii="Times New Roman" w:eastAsia="Times New Roman" w:hAnsi="Times New Roman" w:cs="Times New Roman"/>
          <w:b/>
          <w:color w:val="000000"/>
          <w:sz w:val="28"/>
          <w:szCs w:val="28"/>
          <w:lang w:eastAsia="uk-UA"/>
        </w:rPr>
        <w:t>4</w:t>
      </w:r>
      <w:r w:rsidR="009A098F" w:rsidRPr="008045D4">
        <w:rPr>
          <w:rFonts w:ascii="Times New Roman" w:eastAsia="Times New Roman" w:hAnsi="Times New Roman" w:cs="Times New Roman"/>
          <w:b/>
          <w:color w:val="000000"/>
          <w:sz w:val="28"/>
          <w:szCs w:val="28"/>
          <w:lang w:eastAsia="uk-UA"/>
        </w:rPr>
        <w:t xml:space="preserve"> році</w:t>
      </w:r>
    </w:p>
    <w:p w:rsidR="009A098F" w:rsidRPr="008045D4" w:rsidRDefault="009A098F" w:rsidP="008045D4">
      <w:pPr>
        <w:widowControl w:val="0"/>
        <w:spacing w:after="0" w:line="240" w:lineRule="auto"/>
        <w:ind w:firstLine="567"/>
        <w:jc w:val="both"/>
        <w:rPr>
          <w:rFonts w:ascii="Times New Roman" w:eastAsia="Times New Roman" w:hAnsi="Times New Roman" w:cs="Times New Roman"/>
          <w:sz w:val="28"/>
          <w:szCs w:val="28"/>
          <w:lang w:eastAsia="ru-RU"/>
        </w:rPr>
      </w:pP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bookmarkStart w:id="0" w:name="n87"/>
      <w:bookmarkEnd w:id="0"/>
      <w:r w:rsidRPr="008045D4">
        <w:rPr>
          <w:rFonts w:ascii="Times New Roman" w:hAnsi="Times New Roman" w:cs="Times New Roman"/>
          <w:sz w:val="28"/>
          <w:szCs w:val="28"/>
        </w:rPr>
        <w:t xml:space="preserve">З метою оперативного реагування на проблемні питання громадян функціонують «гаряча лінія «Міндовкілля на зв’язку», яка працює на базі існуючої системи ДУ «Урядовий контактний центр» та телефонна «гаряча лінія» Міндовкілля, яка працює в громадській приймальні.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Протягом 2024 року на «гарячу лінію «Міндовкілля на зв’язку» було прийнято 3 136 дзвінків, на телефонну «гарячу лінію» Міндовкілля – 1 862 дзвінка.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Звернення громадян, що надійшли на «гарячу лінію «Міндовкілля на зв’язку», реєструються у день їх надходження в журналі реєстрації звернень громадян в системі електронного документообігу.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Звернення, в яких порушено питання інформативного, довідкового та консультативного характеру, а також які не потребують додаткового вивчення, розглядаються і вирішуються невідкладно. Звернення, що потребують більш детального вивчення, проведення додаткової перевірки вказаних фактів, розглядаються у тому ж порядку, що й письмові звернення відповідно до Закону України «Про звернення громадян» (далі – Закон).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Інформація про «гарячу лінію «Міндовкілля на зв’язку» розміщена на вебсайті Міндовкілля, за посиланням: https://mepr.gov.ua/ та на вебсайті ДУ «Урядовий контактний центр», за посиланням: https://ukc.gov.ua/. Інформація про телефонну «гарячу лінію» Міндовкілля розміщена на вебсайті Міндовкілля, за посиланням: </w:t>
      </w:r>
      <w:hyperlink r:id="rId4" w:history="1">
        <w:r w:rsidRPr="008045D4">
          <w:rPr>
            <w:rStyle w:val="a5"/>
            <w:rFonts w:ascii="Times New Roman" w:hAnsi="Times New Roman" w:cs="Times New Roman"/>
            <w:color w:val="auto"/>
            <w:sz w:val="28"/>
            <w:szCs w:val="28"/>
            <w:u w:val="none"/>
          </w:rPr>
          <w:t>https://mepr.gov.ua/</w:t>
        </w:r>
      </w:hyperlink>
      <w:r w:rsidRPr="008045D4">
        <w:rPr>
          <w:rFonts w:ascii="Times New Roman" w:hAnsi="Times New Roman" w:cs="Times New Roman"/>
          <w:sz w:val="28"/>
          <w:szCs w:val="28"/>
        </w:rPr>
        <w:t xml:space="preserve">.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Керівництвом Міндовкілля та посадовими особами структурних підрозділів апарату Міндовкілля проводиться особистий прийом громадян.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Питання щодо практичної реалізації громадянами права на звернення та особистий прийом передбачені, зокрема Порядком організації та проведення особистого прийому громадян посадовими особами Міністерства захисту довкілля та природних ресурсів України, затвердженим наказом Міндовкілля від 30.09.2021 № 637, зареєстрованим в Міністерстві юстиції України від 04.11.2021 за № 1429/37051, а також Графіком особистого прийому громадян керівництвом Міністерства захисту довкілля та природних ресурсів України, затвердженим наказом Міндовкілля від 29.10.2024 № 1375 та Графіком особистого прийому громадян посадовими особами структурних підрозділів апарату Міністерства захисту довкілля та природних ресурсів України, затвердженим наказом Міндовкілля від 06.03.2024 № 245, які розміщені на вебсайті Міндовкілля в розділі «Громадянам» в підрозділі «Звернення громадян» - «Особистий прийом».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Протягом 2024 року проведено 54 особистих прийомів громадян, з них Міністром захисту довкілля та природних ресурсів України - 10, першим заступником Міністра – 7, заступниками Міністра – 7, посадовими особами структурних підрозділів апарату Міндовкілля – 20.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Керівництвом Міндовкілля забезпечено виконання вимог Закону в частині розгляду звернень та забезпечення проведення першочергового особистого прийому жінок, яким присвоєно почесне звання України «Мати-героїня», Героїв Радянського Союзу, </w:t>
      </w:r>
      <w:r w:rsidR="00E84943">
        <w:rPr>
          <w:rFonts w:ascii="Times New Roman" w:hAnsi="Times New Roman" w:cs="Times New Roman"/>
          <w:sz w:val="28"/>
          <w:szCs w:val="28"/>
        </w:rPr>
        <w:t xml:space="preserve">Героїв України, </w:t>
      </w:r>
      <w:bookmarkStart w:id="1" w:name="_GoBack"/>
      <w:bookmarkEnd w:id="1"/>
      <w:r w:rsidRPr="008045D4">
        <w:rPr>
          <w:rFonts w:ascii="Times New Roman" w:hAnsi="Times New Roman" w:cs="Times New Roman"/>
          <w:sz w:val="28"/>
          <w:szCs w:val="28"/>
        </w:rPr>
        <w:t xml:space="preserve">Героїв Соціалістичної Праці, осіб з інвалідністю внаслідок війни, а також інших громадян, які мають встановлені законодавством пільги. </w:t>
      </w:r>
    </w:p>
    <w:p w:rsidR="0011428D" w:rsidRDefault="0011428D" w:rsidP="008045D4">
      <w:pPr>
        <w:widowControl w:val="0"/>
        <w:spacing w:after="0" w:line="240" w:lineRule="auto"/>
        <w:ind w:firstLine="567"/>
        <w:jc w:val="both"/>
        <w:rPr>
          <w:rFonts w:ascii="Times New Roman" w:hAnsi="Times New Roman" w:cs="Times New Roman"/>
          <w:sz w:val="28"/>
          <w:szCs w:val="28"/>
        </w:rPr>
      </w:pP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Міндовкілля забезпечує належний розгляд звернень громадян, що надходили до від ДУ «Урядовий контактний центр». Так, протягом 2024 року від ДУ «Урядовий контактний центр» до Міндовкілля надійшло 200 пропозицій, заяв і скарг громадян, що склало 8,07 % від загальної кількості звернень (2 479).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З метою недопущення надання необґрунтованих, неповних, або із порушенням строків, установлених законодавством відповідей на звернення громадян, керівництвом Міндовкілля вживаються заходи щодо кваліфікованого, об’єктивного, всебічного розгляду звернень громадян для забезпечення задоволення їх законних вимог та запобігання випадків повторних звернень.</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Також, в Міндовкілля запроваджено постійний контроль за організацією роботи посадових та службових осіб зі зверненнями громадян. Зокрема, для поновлення прав і свобод громадян, порушених унаслідок недодержання вимог законодавства про звернення громадян, вживаються заходи щодо притягнення винних осіб у встановленому порядку до відповідальності, в тому числі до дисциплінарної відповідальності за невиконання чи неналежне виконання службових обов'язків щодо розгляду звернень громадян.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В громадській приймальні Міндовкілля створено умови для участі заявників у перевірці поданих ними звернень та надано можливість знайомитися з матеріалами перевірок відповідних звернень.</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Удосконалення роботи із зверненнями громадян та оперативне вирішення порушених в них питань перебувають на постійному контролі керівництва Міндовкілля, як один із пріоритетних напрямів діяльності.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Звернення (скарги, заяви, пропозиції), які надходять до Міндовкілля реєструються в системі електронного документообігу «Система документообігу та автоматизації бізнес процесів «Megapolis.DocNet» (далі - система електронного документообігу) та в установленому порядку передаються на розгляд до відповідних структурних підрозділів. </w:t>
      </w:r>
    </w:p>
    <w:p w:rsidR="008045D4"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Протягом 2024 року до Міндовкілля надійшло 2 479 пропозицій, заяв і скарг громадян (1 952 за аналогічний період 2023 року), з них заяв –1 485 (1 461 за аналогічний період 2023 року), скарг – 279 (379 за аналогічний період 2023 року), пропозицій – 715 (112 за аналогічний період 2023 року). </w:t>
      </w:r>
    </w:p>
    <w:p w:rsidR="009A098F" w:rsidRPr="008045D4" w:rsidRDefault="008045D4" w:rsidP="008045D4">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Кількість звернень громадян, з розподілом за видами, що надійшли до Міндовкілля, протягом 2024 року, наведено у діаграмі 1.</w:t>
      </w:r>
    </w:p>
    <w:p w:rsidR="0011428D" w:rsidRDefault="0011428D" w:rsidP="008045D4">
      <w:pPr>
        <w:widowControl w:val="0"/>
        <w:spacing w:after="0" w:line="240" w:lineRule="auto"/>
        <w:ind w:firstLine="567"/>
        <w:jc w:val="right"/>
        <w:rPr>
          <w:rFonts w:ascii="Times New Roman" w:hAnsi="Times New Roman" w:cs="Times New Roman"/>
          <w:sz w:val="28"/>
          <w:szCs w:val="28"/>
        </w:rPr>
      </w:pPr>
    </w:p>
    <w:p w:rsidR="008045D4" w:rsidRPr="008045D4" w:rsidRDefault="008045D4" w:rsidP="008045D4">
      <w:pPr>
        <w:widowControl w:val="0"/>
        <w:spacing w:after="0" w:line="240" w:lineRule="auto"/>
        <w:ind w:firstLine="567"/>
        <w:jc w:val="right"/>
        <w:rPr>
          <w:rFonts w:ascii="Times New Roman" w:hAnsi="Times New Roman" w:cs="Times New Roman"/>
          <w:sz w:val="28"/>
          <w:szCs w:val="28"/>
        </w:rPr>
      </w:pPr>
      <w:r w:rsidRPr="008045D4">
        <w:rPr>
          <w:rFonts w:ascii="Times New Roman" w:hAnsi="Times New Roman" w:cs="Times New Roman"/>
          <w:sz w:val="28"/>
          <w:szCs w:val="28"/>
        </w:rPr>
        <w:t>Діаграма 1</w:t>
      </w:r>
    </w:p>
    <w:p w:rsidR="008045D4" w:rsidRPr="008045D4" w:rsidRDefault="008045D4" w:rsidP="008045D4">
      <w:pPr>
        <w:widowControl w:val="0"/>
        <w:spacing w:after="0" w:line="240" w:lineRule="auto"/>
        <w:ind w:firstLine="567"/>
        <w:jc w:val="both"/>
        <w:rPr>
          <w:rFonts w:ascii="Times New Roman" w:eastAsia="Times New Roman" w:hAnsi="Times New Roman" w:cs="Times New Roman"/>
          <w:color w:val="000000"/>
          <w:sz w:val="28"/>
          <w:szCs w:val="28"/>
          <w:lang w:eastAsia="uk-UA"/>
        </w:rPr>
      </w:pPr>
      <w:r w:rsidRPr="00941309">
        <w:rPr>
          <w:rFonts w:ascii="Times New Roman" w:eastAsia="Times New Roman" w:hAnsi="Times New Roman" w:cs="Times New Roman"/>
          <w:noProof/>
          <w:sz w:val="28"/>
          <w:szCs w:val="28"/>
          <w:lang w:eastAsia="uk-UA"/>
        </w:rPr>
        <w:drawing>
          <wp:inline distT="0" distB="0" distL="0" distR="0" wp14:anchorId="4C9E8803" wp14:editId="78D4A830">
            <wp:extent cx="5305425" cy="2676525"/>
            <wp:effectExtent l="0" t="0" r="9525" b="9525"/>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1428D" w:rsidRDefault="0011428D" w:rsidP="0011428D">
      <w:pPr>
        <w:widowControl w:val="0"/>
        <w:spacing w:after="0" w:line="240" w:lineRule="auto"/>
        <w:ind w:firstLine="567"/>
        <w:jc w:val="both"/>
        <w:rPr>
          <w:rFonts w:ascii="Times New Roman" w:hAnsi="Times New Roman" w:cs="Times New Roman"/>
          <w:sz w:val="28"/>
          <w:szCs w:val="28"/>
        </w:rPr>
      </w:pPr>
    </w:p>
    <w:p w:rsidR="0011428D" w:rsidRDefault="008045D4" w:rsidP="0011428D">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Серед загальної кількості звернень переважають індивідуальні – 2 247 (90,64 %). Колективних звернень надійшло – 232 (9,36%). </w:t>
      </w:r>
    </w:p>
    <w:p w:rsidR="0011428D" w:rsidRDefault="008045D4" w:rsidP="0011428D">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За ознакою надходження: первинних звернень – 1 321 (53,29 %), повторних - 292 (11,78%), дублетних – 123 (4,96%), масових – 719 (29 %) та неодноразових – 24 (0,97%). </w:t>
      </w:r>
    </w:p>
    <w:p w:rsidR="0011428D" w:rsidRDefault="008045D4" w:rsidP="0011428D">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Найчастіше причиною повторних звернень є бажання заявника отримати уточнену інформацію або не задоволення скарги в повному обсязі. </w:t>
      </w:r>
    </w:p>
    <w:p w:rsidR="0011428D" w:rsidRDefault="008045D4" w:rsidP="0011428D">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 xml:space="preserve">В Міндовкілля на постійній основі з’ясовуються причини, що породжують повторні звернення громадян та проводиться систематичний аналіз випадків безпідставної відмови в задоволенні законних вимог заявників. </w:t>
      </w:r>
    </w:p>
    <w:p w:rsidR="0011428D" w:rsidRDefault="008045D4" w:rsidP="0011428D">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З метою запобігання надходжень повторних звернень фахівцями Міндовкілля вживаються вичерпні заходи і надаються заявникам детальні, ґрунтовні відповіді та роз’яснення.</w:t>
      </w:r>
    </w:p>
    <w:p w:rsidR="008045D4" w:rsidRDefault="008045D4" w:rsidP="0011428D">
      <w:pPr>
        <w:widowControl w:val="0"/>
        <w:spacing w:after="0" w:line="240" w:lineRule="auto"/>
        <w:ind w:firstLine="567"/>
        <w:jc w:val="both"/>
        <w:rPr>
          <w:rFonts w:ascii="Times New Roman" w:hAnsi="Times New Roman" w:cs="Times New Roman"/>
          <w:sz w:val="28"/>
          <w:szCs w:val="28"/>
        </w:rPr>
      </w:pPr>
      <w:r w:rsidRPr="008045D4">
        <w:rPr>
          <w:rFonts w:ascii="Times New Roman" w:hAnsi="Times New Roman" w:cs="Times New Roman"/>
          <w:sz w:val="28"/>
          <w:szCs w:val="28"/>
        </w:rPr>
        <w:t>Найбільша кількість звернень громадян надійшла до Міндовкілля поштою, у т. ч. електронною, через рубрику «Електронне звернення» (Таблиця 1)</w:t>
      </w:r>
      <w:r w:rsidR="0011428D">
        <w:rPr>
          <w:rFonts w:ascii="Times New Roman" w:hAnsi="Times New Roman" w:cs="Times New Roman"/>
          <w:sz w:val="28"/>
          <w:szCs w:val="28"/>
        </w:rPr>
        <w:t>.</w:t>
      </w:r>
    </w:p>
    <w:p w:rsidR="0011428D" w:rsidRDefault="0011428D" w:rsidP="0011428D">
      <w:pPr>
        <w:widowControl w:val="0"/>
        <w:spacing w:after="0" w:line="240" w:lineRule="auto"/>
        <w:ind w:firstLine="567"/>
        <w:jc w:val="right"/>
        <w:rPr>
          <w:rFonts w:ascii="Times New Roman" w:hAnsi="Times New Roman" w:cs="Times New Roman"/>
          <w:sz w:val="28"/>
          <w:szCs w:val="28"/>
        </w:rPr>
      </w:pPr>
    </w:p>
    <w:p w:rsidR="0011428D" w:rsidRDefault="0011428D" w:rsidP="0011428D">
      <w:pPr>
        <w:widowControl w:val="0"/>
        <w:spacing w:after="0" w:line="240" w:lineRule="auto"/>
        <w:ind w:firstLine="567"/>
        <w:jc w:val="right"/>
        <w:rPr>
          <w:rFonts w:ascii="Times New Roman" w:hAnsi="Times New Roman" w:cs="Times New Roman"/>
          <w:sz w:val="28"/>
          <w:szCs w:val="28"/>
        </w:rPr>
      </w:pPr>
      <w:r w:rsidRPr="0011428D">
        <w:rPr>
          <w:rFonts w:ascii="Times New Roman" w:hAnsi="Times New Roman" w:cs="Times New Roman"/>
          <w:sz w:val="28"/>
          <w:szCs w:val="28"/>
        </w:rPr>
        <w:t>Таблиця 1</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7316"/>
        <w:gridCol w:w="1842"/>
      </w:tblGrid>
      <w:tr w:rsidR="0011428D" w:rsidRPr="0011428D" w:rsidTr="00F03E83">
        <w:trPr>
          <w:trHeight w:val="329"/>
        </w:trPr>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b/>
                <w:bCs/>
                <w:sz w:val="26"/>
                <w:szCs w:val="26"/>
              </w:rPr>
            </w:pPr>
            <w:r w:rsidRPr="0011428D">
              <w:rPr>
                <w:rFonts w:ascii="Times New Roman" w:eastAsia="Times New Roman" w:hAnsi="Times New Roman" w:cs="Times New Roman"/>
                <w:b/>
                <w:bCs/>
                <w:sz w:val="26"/>
                <w:szCs w:val="26"/>
              </w:rPr>
              <w:t xml:space="preserve">№ з/п </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b/>
                <w:bCs/>
                <w:sz w:val="26"/>
                <w:szCs w:val="26"/>
              </w:rPr>
            </w:pPr>
            <w:r w:rsidRPr="0011428D">
              <w:rPr>
                <w:rFonts w:ascii="Times New Roman" w:eastAsia="Times New Roman" w:hAnsi="Times New Roman" w:cs="Times New Roman"/>
                <w:b/>
                <w:bCs/>
                <w:sz w:val="26"/>
                <w:szCs w:val="26"/>
              </w:rPr>
              <w:t>Форма надходження звернень громадян</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center"/>
              <w:rPr>
                <w:rFonts w:ascii="Times New Roman" w:eastAsia="Times New Roman" w:hAnsi="Times New Roman" w:cs="Times New Roman"/>
                <w:b/>
                <w:bCs/>
                <w:sz w:val="26"/>
                <w:szCs w:val="26"/>
              </w:rPr>
            </w:pPr>
            <w:r w:rsidRPr="0011428D">
              <w:rPr>
                <w:rFonts w:ascii="Times New Roman" w:eastAsia="Times New Roman" w:hAnsi="Times New Roman" w:cs="Times New Roman"/>
                <w:b/>
                <w:bCs/>
                <w:sz w:val="26"/>
                <w:szCs w:val="26"/>
              </w:rPr>
              <w:t>2024</w:t>
            </w:r>
            <w:r w:rsidRPr="0011428D">
              <w:rPr>
                <w:rFonts w:ascii="Times New Roman" w:eastAsia="Times New Roman" w:hAnsi="Times New Roman" w:cs="Times New Roman"/>
                <w:b/>
                <w:bCs/>
                <w:sz w:val="26"/>
                <w:szCs w:val="26"/>
                <w:lang w:val="en-US"/>
              </w:rPr>
              <w:t xml:space="preserve"> </w:t>
            </w:r>
            <w:r w:rsidRPr="0011428D">
              <w:rPr>
                <w:rFonts w:ascii="Times New Roman" w:eastAsia="Times New Roman" w:hAnsi="Times New Roman" w:cs="Times New Roman"/>
                <w:b/>
                <w:bCs/>
                <w:sz w:val="26"/>
                <w:szCs w:val="26"/>
              </w:rPr>
              <w:t>рік</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1.</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firstLine="567"/>
              <w:jc w:val="both"/>
              <w:rPr>
                <w:rFonts w:ascii="Times New Roman" w:eastAsia="Times New Roman" w:hAnsi="Times New Roman" w:cs="Times New Roman"/>
                <w:b/>
                <w:bCs/>
                <w:sz w:val="26"/>
                <w:szCs w:val="26"/>
              </w:rPr>
            </w:pPr>
            <w:r w:rsidRPr="0011428D">
              <w:rPr>
                <w:rFonts w:ascii="Times New Roman" w:eastAsia="Times New Roman" w:hAnsi="Times New Roman" w:cs="Times New Roman"/>
                <w:b/>
                <w:bCs/>
                <w:sz w:val="26"/>
                <w:szCs w:val="26"/>
              </w:rPr>
              <w:t>Через органи влади</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rPr>
                <w:rFonts w:ascii="Times New Roman" w:eastAsia="Times New Roman" w:hAnsi="Times New Roman" w:cs="Times New Roman"/>
                <w:bCs/>
                <w:sz w:val="26"/>
                <w:szCs w:val="26"/>
              </w:rPr>
            </w:pPr>
            <w:r w:rsidRPr="0011428D">
              <w:rPr>
                <w:rFonts w:ascii="Times New Roman" w:eastAsia="Times New Roman" w:hAnsi="Times New Roman" w:cs="Times New Roman"/>
                <w:bCs/>
                <w:sz w:val="26"/>
                <w:szCs w:val="26"/>
              </w:rPr>
              <w:t xml:space="preserve">         223</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2.</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firstLine="567"/>
              <w:jc w:val="both"/>
              <w:rPr>
                <w:rFonts w:ascii="Times New Roman" w:eastAsia="Times New Roman" w:hAnsi="Times New Roman" w:cs="Times New Roman"/>
                <w:sz w:val="26"/>
                <w:szCs w:val="26"/>
              </w:rPr>
            </w:pPr>
            <w:r w:rsidRPr="0011428D">
              <w:rPr>
                <w:rFonts w:ascii="Times New Roman" w:eastAsia="Times New Roman" w:hAnsi="Times New Roman" w:cs="Times New Roman"/>
                <w:b/>
                <w:bCs/>
                <w:sz w:val="26"/>
                <w:szCs w:val="26"/>
              </w:rPr>
              <w:t xml:space="preserve">Через інші підприємства, установи, організації </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center"/>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287</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3.</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firstLine="567"/>
              <w:jc w:val="both"/>
              <w:rPr>
                <w:rFonts w:ascii="Times New Roman" w:eastAsia="Times New Roman" w:hAnsi="Times New Roman" w:cs="Times New Roman"/>
                <w:sz w:val="26"/>
                <w:szCs w:val="26"/>
              </w:rPr>
            </w:pPr>
            <w:r w:rsidRPr="0011428D">
              <w:rPr>
                <w:rFonts w:ascii="Times New Roman" w:eastAsia="Times New Roman" w:hAnsi="Times New Roman" w:cs="Times New Roman"/>
                <w:b/>
                <w:bCs/>
                <w:sz w:val="26"/>
                <w:szCs w:val="26"/>
              </w:rPr>
              <w:t>Через засоби масової інформації</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center"/>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0</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4.</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firstLine="567"/>
              <w:jc w:val="both"/>
              <w:rPr>
                <w:rFonts w:ascii="Times New Roman" w:eastAsia="Times New Roman" w:hAnsi="Times New Roman" w:cs="Times New Roman"/>
                <w:sz w:val="26"/>
                <w:szCs w:val="26"/>
              </w:rPr>
            </w:pPr>
            <w:r w:rsidRPr="0011428D">
              <w:rPr>
                <w:rFonts w:ascii="Times New Roman" w:eastAsia="Times New Roman" w:hAnsi="Times New Roman" w:cs="Times New Roman"/>
                <w:b/>
                <w:bCs/>
                <w:sz w:val="26"/>
                <w:szCs w:val="26"/>
              </w:rPr>
              <w:t>Безпосередньо від громадян, з них:</w:t>
            </w:r>
          </w:p>
        </w:tc>
        <w:tc>
          <w:tcPr>
            <w:tcW w:w="1842" w:type="dxa"/>
            <w:tcBorders>
              <w:top w:val="single" w:sz="4" w:space="0" w:color="auto"/>
              <w:left w:val="single" w:sz="4" w:space="0" w:color="auto"/>
              <w:bottom w:val="single" w:sz="4" w:space="0" w:color="auto"/>
              <w:right w:val="single" w:sz="4" w:space="0" w:color="auto"/>
            </w:tcBorders>
          </w:tcPr>
          <w:p w:rsidR="0011428D" w:rsidRPr="0011428D" w:rsidRDefault="0011428D" w:rsidP="0011428D">
            <w:pPr>
              <w:spacing w:after="0"/>
              <w:jc w:val="center"/>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1969</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4.1.</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left="545" w:firstLine="22"/>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Поштою, у т. ч. електронною, через рубрику «Електронне звернення»</w:t>
            </w:r>
          </w:p>
        </w:tc>
        <w:tc>
          <w:tcPr>
            <w:tcW w:w="1842" w:type="dxa"/>
            <w:tcBorders>
              <w:top w:val="single" w:sz="4" w:space="0" w:color="auto"/>
              <w:left w:val="single" w:sz="4" w:space="0" w:color="auto"/>
              <w:bottom w:val="single" w:sz="4" w:space="0" w:color="auto"/>
              <w:right w:val="single" w:sz="4" w:space="0" w:color="auto"/>
            </w:tcBorders>
          </w:tcPr>
          <w:p w:rsidR="0011428D" w:rsidRPr="0011428D" w:rsidRDefault="0011428D" w:rsidP="0011428D">
            <w:pPr>
              <w:spacing w:after="0"/>
              <w:jc w:val="center"/>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1839</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4.2.</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left="545" w:firstLine="22"/>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 xml:space="preserve">Під час проведення особистого прийому громадян </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center"/>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9</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4.3</w:t>
            </w:r>
          </w:p>
        </w:tc>
        <w:tc>
          <w:tcPr>
            <w:tcW w:w="7316" w:type="dxa"/>
            <w:tcBorders>
              <w:top w:val="single" w:sz="4" w:space="0" w:color="auto"/>
              <w:left w:val="single" w:sz="4" w:space="0" w:color="auto"/>
              <w:bottom w:val="single" w:sz="4" w:space="0" w:color="auto"/>
              <w:right w:val="single" w:sz="4" w:space="0" w:color="auto"/>
            </w:tcBorders>
          </w:tcPr>
          <w:p w:rsidR="0011428D" w:rsidRPr="0011428D" w:rsidRDefault="0011428D" w:rsidP="0011428D">
            <w:pPr>
              <w:spacing w:after="0"/>
              <w:ind w:firstLine="567"/>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 xml:space="preserve">Через </w:t>
            </w:r>
            <w:r w:rsidRPr="0011428D">
              <w:rPr>
                <w:rFonts w:ascii="Times New Roman" w:eastAsia="Times New Roman" w:hAnsi="Times New Roman" w:cs="Times New Roman"/>
                <w:sz w:val="26"/>
                <w:szCs w:val="26"/>
                <w:lang w:eastAsia="uk-UA"/>
              </w:rPr>
              <w:t xml:space="preserve">«гарячу лінію» «Міндовкілля на зв’язку», «гаряча лінія» Міндовкілля </w:t>
            </w:r>
          </w:p>
        </w:tc>
        <w:tc>
          <w:tcPr>
            <w:tcW w:w="1842" w:type="dxa"/>
            <w:tcBorders>
              <w:top w:val="single" w:sz="4" w:space="0" w:color="auto"/>
              <w:left w:val="single" w:sz="4" w:space="0" w:color="auto"/>
              <w:bottom w:val="single" w:sz="4" w:space="0" w:color="auto"/>
              <w:right w:val="single" w:sz="4" w:space="0" w:color="auto"/>
            </w:tcBorders>
          </w:tcPr>
          <w:p w:rsidR="0011428D" w:rsidRPr="0011428D" w:rsidRDefault="0011428D" w:rsidP="0011428D">
            <w:pPr>
              <w:spacing w:after="0"/>
              <w:jc w:val="center"/>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121</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both"/>
              <w:rPr>
                <w:rFonts w:ascii="Times New Roman" w:eastAsia="Times New Roman" w:hAnsi="Times New Roman" w:cs="Times New Roman"/>
                <w:sz w:val="26"/>
                <w:szCs w:val="26"/>
              </w:rPr>
            </w:pPr>
            <w:r w:rsidRPr="0011428D">
              <w:rPr>
                <w:rFonts w:ascii="Times New Roman" w:eastAsia="Times New Roman" w:hAnsi="Times New Roman" w:cs="Times New Roman"/>
                <w:sz w:val="26"/>
                <w:szCs w:val="26"/>
              </w:rPr>
              <w:t>5.</w:t>
            </w: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firstLine="567"/>
              <w:jc w:val="both"/>
              <w:rPr>
                <w:rFonts w:ascii="Times New Roman" w:eastAsia="Times New Roman" w:hAnsi="Times New Roman" w:cs="Times New Roman"/>
                <w:sz w:val="26"/>
                <w:szCs w:val="26"/>
              </w:rPr>
            </w:pPr>
            <w:r w:rsidRPr="0011428D">
              <w:rPr>
                <w:rFonts w:ascii="Times New Roman" w:eastAsia="Times New Roman" w:hAnsi="Times New Roman" w:cs="Times New Roman"/>
                <w:b/>
                <w:bCs/>
                <w:sz w:val="26"/>
                <w:szCs w:val="26"/>
              </w:rPr>
              <w:t>Через уповноважену особу</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center"/>
              <w:rPr>
                <w:rFonts w:ascii="Times New Roman" w:eastAsia="Times New Roman" w:hAnsi="Times New Roman" w:cs="Times New Roman"/>
                <w:bCs/>
                <w:sz w:val="26"/>
                <w:szCs w:val="26"/>
              </w:rPr>
            </w:pPr>
            <w:r w:rsidRPr="0011428D">
              <w:rPr>
                <w:rFonts w:ascii="Times New Roman" w:eastAsia="Times New Roman" w:hAnsi="Times New Roman" w:cs="Times New Roman"/>
                <w:bCs/>
                <w:sz w:val="26"/>
                <w:szCs w:val="26"/>
              </w:rPr>
              <w:t>0</w:t>
            </w:r>
          </w:p>
        </w:tc>
      </w:tr>
      <w:tr w:rsidR="0011428D" w:rsidRPr="0011428D" w:rsidTr="00F03E83">
        <w:tc>
          <w:tcPr>
            <w:tcW w:w="695" w:type="dxa"/>
            <w:tcBorders>
              <w:top w:val="single" w:sz="4" w:space="0" w:color="auto"/>
              <w:left w:val="single" w:sz="4" w:space="0" w:color="auto"/>
              <w:bottom w:val="single" w:sz="4" w:space="0" w:color="auto"/>
              <w:right w:val="single" w:sz="4" w:space="0" w:color="auto"/>
            </w:tcBorders>
          </w:tcPr>
          <w:p w:rsidR="0011428D" w:rsidRPr="0011428D" w:rsidRDefault="0011428D" w:rsidP="0011428D">
            <w:pPr>
              <w:spacing w:after="0"/>
              <w:jc w:val="both"/>
              <w:rPr>
                <w:rFonts w:ascii="Times New Roman" w:eastAsia="Times New Roman" w:hAnsi="Times New Roman" w:cs="Times New Roman"/>
                <w:sz w:val="26"/>
                <w:szCs w:val="26"/>
              </w:rPr>
            </w:pPr>
          </w:p>
        </w:tc>
        <w:tc>
          <w:tcPr>
            <w:tcW w:w="7316"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ind w:firstLine="567"/>
              <w:jc w:val="both"/>
              <w:rPr>
                <w:rFonts w:ascii="Times New Roman" w:eastAsia="Times New Roman" w:hAnsi="Times New Roman" w:cs="Times New Roman"/>
                <w:b/>
                <w:bCs/>
                <w:sz w:val="26"/>
                <w:szCs w:val="26"/>
              </w:rPr>
            </w:pPr>
            <w:r w:rsidRPr="0011428D">
              <w:rPr>
                <w:rFonts w:ascii="Times New Roman" w:eastAsia="Times New Roman" w:hAnsi="Times New Roman" w:cs="Times New Roman"/>
                <w:b/>
                <w:bCs/>
                <w:sz w:val="26"/>
                <w:szCs w:val="26"/>
              </w:rPr>
              <w:t>ВСЬОГО:</w:t>
            </w:r>
          </w:p>
        </w:tc>
        <w:tc>
          <w:tcPr>
            <w:tcW w:w="1842" w:type="dxa"/>
            <w:tcBorders>
              <w:top w:val="single" w:sz="4" w:space="0" w:color="auto"/>
              <w:left w:val="single" w:sz="4" w:space="0" w:color="auto"/>
              <w:bottom w:val="single" w:sz="4" w:space="0" w:color="auto"/>
              <w:right w:val="single" w:sz="4" w:space="0" w:color="auto"/>
            </w:tcBorders>
            <w:hideMark/>
          </w:tcPr>
          <w:p w:rsidR="0011428D" w:rsidRPr="0011428D" w:rsidRDefault="0011428D" w:rsidP="0011428D">
            <w:pPr>
              <w:spacing w:after="0"/>
              <w:jc w:val="center"/>
              <w:rPr>
                <w:rFonts w:ascii="Times New Roman" w:eastAsia="Times New Roman" w:hAnsi="Times New Roman" w:cs="Times New Roman"/>
                <w:b/>
                <w:bCs/>
                <w:sz w:val="26"/>
                <w:szCs w:val="26"/>
              </w:rPr>
            </w:pPr>
            <w:r w:rsidRPr="0011428D">
              <w:rPr>
                <w:rFonts w:ascii="Times New Roman" w:eastAsia="Times New Roman" w:hAnsi="Times New Roman" w:cs="Times New Roman"/>
                <w:b/>
                <w:bCs/>
                <w:sz w:val="26"/>
                <w:szCs w:val="26"/>
              </w:rPr>
              <w:t>2479</w:t>
            </w:r>
          </w:p>
        </w:tc>
      </w:tr>
    </w:tbl>
    <w:p w:rsidR="0011428D" w:rsidRDefault="0011428D" w:rsidP="0011428D">
      <w:pPr>
        <w:widowControl w:val="0"/>
        <w:spacing w:after="0" w:line="240" w:lineRule="auto"/>
        <w:ind w:firstLine="567"/>
        <w:jc w:val="right"/>
        <w:rPr>
          <w:rFonts w:ascii="Times New Roman" w:hAnsi="Times New Roman" w:cs="Times New Roman"/>
          <w:sz w:val="28"/>
          <w:szCs w:val="28"/>
        </w:rPr>
      </w:pP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Найбільша кількість звернень надійшла від жителів м. Києва (20,45% від загальної кількості) (Діаграма 2).</w:t>
      </w:r>
    </w:p>
    <w:p w:rsidR="000546D7" w:rsidRDefault="000546D7" w:rsidP="0011428D">
      <w:pPr>
        <w:widowControl w:val="0"/>
        <w:spacing w:after="0" w:line="240" w:lineRule="auto"/>
        <w:ind w:firstLine="567"/>
        <w:jc w:val="right"/>
        <w:rPr>
          <w:rFonts w:ascii="Times New Roman" w:hAnsi="Times New Roman" w:cs="Times New Roman"/>
          <w:sz w:val="28"/>
          <w:szCs w:val="28"/>
        </w:rPr>
      </w:pPr>
    </w:p>
    <w:p w:rsidR="0011428D" w:rsidRDefault="0011428D" w:rsidP="0011428D">
      <w:pPr>
        <w:widowControl w:val="0"/>
        <w:spacing w:after="0" w:line="240" w:lineRule="auto"/>
        <w:ind w:firstLine="567"/>
        <w:jc w:val="right"/>
        <w:rPr>
          <w:rFonts w:ascii="Times New Roman" w:hAnsi="Times New Roman" w:cs="Times New Roman"/>
          <w:sz w:val="28"/>
          <w:szCs w:val="28"/>
        </w:rPr>
      </w:pPr>
      <w:r w:rsidRPr="0011428D">
        <w:rPr>
          <w:rFonts w:ascii="Times New Roman" w:hAnsi="Times New Roman" w:cs="Times New Roman"/>
          <w:sz w:val="28"/>
          <w:szCs w:val="28"/>
        </w:rPr>
        <w:t>Діаграма 2</w:t>
      </w:r>
    </w:p>
    <w:p w:rsidR="0011428D" w:rsidRDefault="0011428D" w:rsidP="0011428D">
      <w:pPr>
        <w:widowControl w:val="0"/>
        <w:spacing w:after="0" w:line="240" w:lineRule="auto"/>
        <w:jc w:val="center"/>
        <w:rPr>
          <w:rFonts w:ascii="Times New Roman" w:hAnsi="Times New Roman" w:cs="Times New Roman"/>
          <w:sz w:val="28"/>
          <w:szCs w:val="28"/>
        </w:rPr>
      </w:pPr>
      <w:r w:rsidRPr="009811A1">
        <w:rPr>
          <w:rFonts w:ascii="Times New Roman" w:eastAsia="Times New Roman" w:hAnsi="Times New Roman" w:cs="Times New Roman"/>
          <w:b/>
          <w:noProof/>
          <w:color w:val="000000"/>
          <w:sz w:val="26"/>
          <w:szCs w:val="26"/>
          <w:lang w:eastAsia="uk-UA"/>
        </w:rPr>
        <w:drawing>
          <wp:inline distT="0" distB="0" distL="0" distR="0" wp14:anchorId="04E4CA89" wp14:editId="583A93BA">
            <wp:extent cx="6143625" cy="229552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428D" w:rsidRDefault="0011428D" w:rsidP="0011428D">
      <w:pPr>
        <w:widowControl w:val="0"/>
        <w:spacing w:after="0" w:line="240" w:lineRule="auto"/>
        <w:jc w:val="center"/>
        <w:rPr>
          <w:rFonts w:ascii="Times New Roman" w:hAnsi="Times New Roman" w:cs="Times New Roman"/>
          <w:sz w:val="28"/>
          <w:szCs w:val="28"/>
        </w:rPr>
      </w:pP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 xml:space="preserve">З метою забезпечення відкритості й прозорості діяльності Міністерства захисту довкілля та природних ресурсів України на офіційному вебсайті функціонують розділи: «Звернення громадян», «Доступ до публічної інформації», якими можуть скористатися громадяни для отримання необхідних роз’яснень. </w:t>
      </w: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Інформація щодо організації роботи зі зверненнями громадян систематично розміщується на вебсайті Міндовкілля в розділі «Громадянам» в підрозділі «Звернення громадян» - «Результати розгляду звернень»</w:t>
      </w:r>
      <w:r>
        <w:rPr>
          <w:rFonts w:ascii="Times New Roman" w:hAnsi="Times New Roman" w:cs="Times New Roman"/>
          <w:sz w:val="28"/>
          <w:szCs w:val="28"/>
        </w:rPr>
        <w:t>.</w:t>
      </w: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 xml:space="preserve">Разом з тим, в розділі «Громадянам» в підрозділі «Звернення громадян» створено рубрику «Електронне звернення», яка містить зручну та просту для використання форму звернення громадян і рубрику «Як подати письмове звернення до Міндовкілля?», яка містить вимоги до звернення, що визначені статтями 5 та 7 Закону (витяг) та активне посилання на Закон. </w:t>
      </w: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 xml:space="preserve">На вебсайті Міндовкілля в розділі «Громадянам» в підрозділі «Безоплатна правнича допомога» розміщена інформація щодо підстав, способу та строків розгляду звернень відповідно до Закону України «Про безоплатну правничу допомогу». </w:t>
      </w: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 xml:space="preserve">Крім того, отримати швидку відповідь можливо, скориставшись експрес чатом на вебсайті Міндовкілля. </w:t>
      </w: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 xml:space="preserve">Також дані віджети відображаються на головній сторінці офіційного вебсайту Міндовкілля, за посиланням: </w:t>
      </w:r>
      <w:hyperlink r:id="rId7" w:history="1">
        <w:r w:rsidRPr="0011428D">
          <w:rPr>
            <w:rStyle w:val="a5"/>
            <w:rFonts w:ascii="Times New Roman" w:hAnsi="Times New Roman" w:cs="Times New Roman"/>
            <w:color w:val="auto"/>
            <w:sz w:val="28"/>
            <w:szCs w:val="28"/>
            <w:u w:val="none"/>
          </w:rPr>
          <w:t>https://mepr.gov.ua</w:t>
        </w:r>
      </w:hyperlink>
      <w:r w:rsidRPr="0011428D">
        <w:rPr>
          <w:rFonts w:ascii="Times New Roman" w:hAnsi="Times New Roman" w:cs="Times New Roman"/>
          <w:sz w:val="28"/>
          <w:szCs w:val="28"/>
        </w:rPr>
        <w:t>.</w:t>
      </w:r>
    </w:p>
    <w:p w:rsid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 xml:space="preserve">З метою удосконалення та покращення роботи зі зверненнями громадян керівниками структурних підрозділів та працівниками, які відповідають за розгляд звернень громадян, систематично надаються консультації громадянам. </w:t>
      </w:r>
    </w:p>
    <w:p w:rsidR="0011428D" w:rsidRPr="0011428D" w:rsidRDefault="0011428D" w:rsidP="0011428D">
      <w:pPr>
        <w:widowControl w:val="0"/>
        <w:spacing w:after="0" w:line="240" w:lineRule="auto"/>
        <w:ind w:firstLine="567"/>
        <w:jc w:val="both"/>
        <w:rPr>
          <w:rFonts w:ascii="Times New Roman" w:hAnsi="Times New Roman" w:cs="Times New Roman"/>
          <w:sz w:val="28"/>
          <w:szCs w:val="28"/>
        </w:rPr>
      </w:pPr>
      <w:r w:rsidRPr="0011428D">
        <w:rPr>
          <w:rFonts w:ascii="Times New Roman" w:hAnsi="Times New Roman" w:cs="Times New Roman"/>
          <w:sz w:val="28"/>
          <w:szCs w:val="28"/>
        </w:rPr>
        <w:t>Міндовкілля прагне бути максимально відкритим у своїй діяльності, а кожен громадянин отримує повний доступ до екологічної інформації.</w:t>
      </w:r>
    </w:p>
    <w:sectPr w:rsidR="0011428D" w:rsidRPr="0011428D" w:rsidSect="0011428D">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8F"/>
    <w:rsid w:val="000546D7"/>
    <w:rsid w:val="0011428D"/>
    <w:rsid w:val="00146E52"/>
    <w:rsid w:val="00273066"/>
    <w:rsid w:val="003711E3"/>
    <w:rsid w:val="0051408E"/>
    <w:rsid w:val="0053735A"/>
    <w:rsid w:val="00551BB4"/>
    <w:rsid w:val="008045D4"/>
    <w:rsid w:val="008B1AE8"/>
    <w:rsid w:val="009316C5"/>
    <w:rsid w:val="009A098F"/>
    <w:rsid w:val="00B71BFF"/>
    <w:rsid w:val="00CA1F5C"/>
    <w:rsid w:val="00E776C7"/>
    <w:rsid w:val="00E84943"/>
    <w:rsid w:val="00EF6E49"/>
    <w:rsid w:val="00FC29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2DE50-8E38-485C-85EC-0037DD7E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9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A09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A098F"/>
  </w:style>
  <w:style w:type="paragraph" w:styleId="a3">
    <w:name w:val="Balloon Text"/>
    <w:basedOn w:val="a"/>
    <w:link w:val="a4"/>
    <w:uiPriority w:val="99"/>
    <w:semiHidden/>
    <w:unhideWhenUsed/>
    <w:rsid w:val="009A09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98F"/>
    <w:rPr>
      <w:rFonts w:ascii="Tahoma" w:hAnsi="Tahoma" w:cs="Tahoma"/>
      <w:sz w:val="16"/>
      <w:szCs w:val="16"/>
    </w:rPr>
  </w:style>
  <w:style w:type="character" w:styleId="a5">
    <w:name w:val="Hyperlink"/>
    <w:basedOn w:val="a0"/>
    <w:uiPriority w:val="99"/>
    <w:unhideWhenUsed/>
    <w:rsid w:val="00804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pr.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https://mepr.gov.ua/" TargetMode="Externa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200">
                <a:latin typeface="Times New Roman" panose="02020603050405020304" pitchFamily="18" charset="0"/>
                <a:cs typeface="Times New Roman" panose="02020603050405020304" pitchFamily="18" charset="0"/>
              </a:rPr>
              <a:t>Види звернень громадян, </a:t>
            </a:r>
          </a:p>
          <a:p>
            <a:pPr>
              <a:defRPr/>
            </a:pPr>
            <a:r>
              <a:rPr lang="uk-UA" sz="1200">
                <a:latin typeface="Times New Roman" panose="02020603050405020304" pitchFamily="18" charset="0"/>
                <a:cs typeface="Times New Roman" panose="02020603050405020304" pitchFamily="18" charset="0"/>
              </a:rPr>
              <a:t>що надійшли до</a:t>
            </a:r>
            <a:r>
              <a:rPr lang="uk-UA" sz="1200" baseline="0">
                <a:latin typeface="Times New Roman" panose="02020603050405020304" pitchFamily="18" charset="0"/>
                <a:cs typeface="Times New Roman" panose="02020603050405020304" pitchFamily="18" charset="0"/>
              </a:rPr>
              <a:t> Міндовкілля у першому півріччі 2024 року</a:t>
            </a:r>
            <a:endParaRPr lang="uk-UA" sz="1200">
              <a:latin typeface="Times New Roman" panose="02020603050405020304" pitchFamily="18" charset="0"/>
              <a:cs typeface="Times New Roman" panose="02020603050405020304" pitchFamily="18" charset="0"/>
            </a:endParaRPr>
          </a:p>
        </c:rich>
      </c:tx>
      <c:layout>
        <c:manualLayout>
          <c:xMode val="edge"/>
          <c:yMode val="edge"/>
          <c:x val="0.14034267912772586"/>
          <c:y val="2.6795284030010719E-2"/>
        </c:manualLayout>
      </c:layout>
      <c:overlay val="0"/>
    </c:title>
    <c:autoTitleDeleted val="0"/>
    <c:plotArea>
      <c:layout>
        <c:manualLayout>
          <c:layoutTarget val="inner"/>
          <c:xMode val="edge"/>
          <c:yMode val="edge"/>
          <c:x val="0.29698549102681965"/>
          <c:y val="0.18264951881014874"/>
          <c:w val="0.41489872141616818"/>
          <c:h val="0.81735048118985132"/>
        </c:manualLayout>
      </c:layout>
      <c:doughnutChart>
        <c:varyColors val="1"/>
        <c:ser>
          <c:idx val="0"/>
          <c:order val="0"/>
          <c:tx>
            <c:strRef>
              <c:f>Лист1!$B$1</c:f>
              <c:strCache>
                <c:ptCount val="1"/>
                <c:pt idx="0">
                  <c:v>Продажи</c:v>
                </c:pt>
              </c:strCache>
            </c:strRef>
          </c:tx>
          <c:dLbls>
            <c:dLbl>
              <c:idx val="0"/>
              <c:layout>
                <c:manualLayout>
                  <c:x val="1.0414954729160694E-2"/>
                  <c:y val="-3.236307588853353E-2"/>
                </c:manualLayout>
              </c:layout>
              <c:tx>
                <c:rich>
                  <a:bodyPr wrap="square" lIns="38100" tIns="19050" rIns="38100" bIns="19050" anchor="ctr">
                    <a:noAutofit/>
                  </a:bodyPr>
                  <a:lstStyle/>
                  <a:p>
                    <a:pPr>
                      <a:defRPr/>
                    </a:pPr>
                    <a:r>
                      <a:rPr lang="en-US" sz="1000" kern="0" baseline="0">
                        <a:latin typeface="+mn-lt"/>
                      </a:rPr>
                      <a:t>59,90%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9.9157922839765766E-2"/>
                      <c:h val="0.10360182249946027"/>
                    </c:manualLayout>
                  </c15:layout>
                </c:ext>
              </c:extLst>
            </c:dLbl>
            <c:dLbl>
              <c:idx val="1"/>
              <c:tx>
                <c:rich>
                  <a:bodyPr/>
                  <a:lstStyle/>
                  <a:p>
                    <a:r>
                      <a:rPr lang="en-US"/>
                      <a:t>30,25%</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E15-40BD-BD82-28D414BAB5BE}"/>
                </c:ext>
                <c:ext xmlns:c15="http://schemas.microsoft.com/office/drawing/2012/chart" uri="{CE6537A1-D6FC-4f65-9D91-7224C49458BB}"/>
              </c:extLst>
            </c:dLbl>
            <c:dLbl>
              <c:idx val="2"/>
              <c:tx>
                <c:rich>
                  <a:bodyPr/>
                  <a:lstStyle/>
                  <a:p>
                    <a:r>
                      <a:rPr lang="en-US"/>
                      <a:t>11,25%</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3E15-40BD-BD82-28D414BAB5BE}"/>
                </c:ex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Лист1!$A$2:$A$4</c:f>
              <c:strCache>
                <c:ptCount val="3"/>
                <c:pt idx="0">
                  <c:v>Заяви, клопотання</c:v>
                </c:pt>
                <c:pt idx="1">
                  <c:v>Пропозиції</c:v>
                </c:pt>
                <c:pt idx="2">
                  <c:v>Скарги</c:v>
                </c:pt>
              </c:strCache>
            </c:strRef>
          </c:cat>
          <c:val>
            <c:numRef>
              <c:f>Лист1!$B$2:$B$4</c:f>
              <c:numCache>
                <c:formatCode>General</c:formatCode>
                <c:ptCount val="3"/>
                <c:pt idx="0">
                  <c:v>1485</c:v>
                </c:pt>
                <c:pt idx="1">
                  <c:v>715</c:v>
                </c:pt>
                <c:pt idx="2">
                  <c:v>279</c:v>
                </c:pt>
              </c:numCache>
            </c:numRef>
          </c:val>
          <c:extLst xmlns:c16r2="http://schemas.microsoft.com/office/drawing/2015/06/chart">
            <c:ext xmlns:c16="http://schemas.microsoft.com/office/drawing/2014/chart" uri="{C3380CC4-5D6E-409C-BE32-E72D297353CC}">
              <c16:uniqueId val="{00000003-3E15-40BD-BD82-28D414BAB5BE}"/>
            </c:ext>
          </c:extLst>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93319016941066"/>
          <c:y val="9.9286318023806327E-3"/>
          <c:w val="0.84775192496672513"/>
          <c:h val="0.44219525525411019"/>
        </c:manualLayout>
      </c:layout>
      <c:barChart>
        <c:barDir val="col"/>
        <c:grouping val="clustered"/>
        <c:varyColors val="0"/>
        <c:ser>
          <c:idx val="0"/>
          <c:order val="0"/>
          <c:tx>
            <c:strRef>
              <c:f>Лист1!$B$1</c:f>
              <c:strCache>
                <c:ptCount val="1"/>
                <c:pt idx="0">
                  <c:v>Звернення громадян у розрізі регіонів</c:v>
                </c:pt>
              </c:strCache>
            </c:strRef>
          </c:tx>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9936204146730643E-3"/>
                  <c:y val="-3.6991770677055667E-17"/>
                </c:manualLayout>
              </c:layout>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242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Лист1!$A$2:$A$28</c:f>
              <c:strCache>
                <c:ptCount val="27"/>
                <c:pt idx="0">
                  <c:v>Автономна Республіка Крим</c:v>
                </c:pt>
                <c:pt idx="1">
                  <c:v>Вінницька область</c:v>
                </c:pt>
                <c:pt idx="2">
                  <c:v>Волинська область</c:v>
                </c:pt>
                <c:pt idx="3">
                  <c:v>Дніпропетровська область</c:v>
                </c:pt>
                <c:pt idx="4">
                  <c:v>Донецька область</c:v>
                </c:pt>
                <c:pt idx="5">
                  <c:v>Житомирська область</c:v>
                </c:pt>
                <c:pt idx="6">
                  <c:v>Закарпатська область</c:v>
                </c:pt>
                <c:pt idx="7">
                  <c:v>Запорізька область</c:v>
                </c:pt>
                <c:pt idx="8">
                  <c:v>Івано-Франківська область</c:v>
                </c:pt>
                <c:pt idx="9">
                  <c:v>Київська область</c:v>
                </c:pt>
                <c:pt idx="10">
                  <c:v>Кіровоградська область</c:v>
                </c:pt>
                <c:pt idx="11">
                  <c:v>Луганська область</c:v>
                </c:pt>
                <c:pt idx="12">
                  <c:v>Львівська область</c:v>
                </c:pt>
                <c:pt idx="13">
                  <c:v>Миколаївська область</c:v>
                </c:pt>
                <c:pt idx="14">
                  <c:v>Одеська область</c:v>
                </c:pt>
                <c:pt idx="15">
                  <c:v>Полтавська область</c:v>
                </c:pt>
                <c:pt idx="16">
                  <c:v>Рівненська область</c:v>
                </c:pt>
                <c:pt idx="17">
                  <c:v>Сумська область</c:v>
                </c:pt>
                <c:pt idx="18">
                  <c:v>Тернопільська область</c:v>
                </c:pt>
                <c:pt idx="19">
                  <c:v>Харківська область</c:v>
                </c:pt>
                <c:pt idx="20">
                  <c:v>Херсонська область</c:v>
                </c:pt>
                <c:pt idx="21">
                  <c:v>Хмельницька область</c:v>
                </c:pt>
                <c:pt idx="22">
                  <c:v>Черкаська область</c:v>
                </c:pt>
                <c:pt idx="23">
                  <c:v>Чернівецька область</c:v>
                </c:pt>
                <c:pt idx="24">
                  <c:v>Чернігівська область</c:v>
                </c:pt>
                <c:pt idx="25">
                  <c:v>м. Київ</c:v>
                </c:pt>
                <c:pt idx="26">
                  <c:v>Регіон не вказано</c:v>
                </c:pt>
              </c:strCache>
            </c:strRef>
          </c:cat>
          <c:val>
            <c:numRef>
              <c:f>Лист1!$B$2:$B$28</c:f>
              <c:numCache>
                <c:formatCode>General</c:formatCode>
                <c:ptCount val="27"/>
                <c:pt idx="0">
                  <c:v>3</c:v>
                </c:pt>
                <c:pt idx="1">
                  <c:v>138</c:v>
                </c:pt>
                <c:pt idx="2">
                  <c:v>37</c:v>
                </c:pt>
                <c:pt idx="3">
                  <c:v>242</c:v>
                </c:pt>
                <c:pt idx="4">
                  <c:v>18</c:v>
                </c:pt>
                <c:pt idx="5">
                  <c:v>41</c:v>
                </c:pt>
                <c:pt idx="6">
                  <c:v>39</c:v>
                </c:pt>
                <c:pt idx="7">
                  <c:v>169</c:v>
                </c:pt>
                <c:pt idx="8">
                  <c:v>77</c:v>
                </c:pt>
                <c:pt idx="9">
                  <c:v>202</c:v>
                </c:pt>
                <c:pt idx="10">
                  <c:v>21</c:v>
                </c:pt>
                <c:pt idx="11">
                  <c:v>5</c:v>
                </c:pt>
                <c:pt idx="12">
                  <c:v>129</c:v>
                </c:pt>
                <c:pt idx="13">
                  <c:v>28</c:v>
                </c:pt>
                <c:pt idx="14">
                  <c:v>70</c:v>
                </c:pt>
                <c:pt idx="15">
                  <c:v>97</c:v>
                </c:pt>
                <c:pt idx="16">
                  <c:v>22</c:v>
                </c:pt>
                <c:pt idx="17">
                  <c:v>39</c:v>
                </c:pt>
                <c:pt idx="18">
                  <c:v>15</c:v>
                </c:pt>
                <c:pt idx="19">
                  <c:v>131</c:v>
                </c:pt>
                <c:pt idx="20">
                  <c:v>7</c:v>
                </c:pt>
                <c:pt idx="21">
                  <c:v>22</c:v>
                </c:pt>
                <c:pt idx="22">
                  <c:v>46</c:v>
                </c:pt>
                <c:pt idx="23">
                  <c:v>14</c:v>
                </c:pt>
                <c:pt idx="24">
                  <c:v>71</c:v>
                </c:pt>
                <c:pt idx="25">
                  <c:v>507</c:v>
                </c:pt>
                <c:pt idx="26">
                  <c:v>289</c:v>
                </c:pt>
              </c:numCache>
            </c:numRef>
          </c:val>
          <c:extLst xmlns:c16r2="http://schemas.microsoft.com/office/drawing/2015/06/chart">
            <c:ext xmlns:c16="http://schemas.microsoft.com/office/drawing/2014/chart" uri="{C3380CC4-5D6E-409C-BE32-E72D297353CC}">
              <c16:uniqueId val="{00000000-7934-4534-9DD4-1CA1BEE21025}"/>
            </c:ext>
          </c:extLst>
        </c:ser>
        <c:dLbls>
          <c:showLegendKey val="0"/>
          <c:showVal val="1"/>
          <c:showCatName val="0"/>
          <c:showSerName val="0"/>
          <c:showPercent val="0"/>
          <c:showBubbleSize val="0"/>
        </c:dLbls>
        <c:gapWidth val="150"/>
        <c:overlap val="-25"/>
        <c:axId val="1629622128"/>
        <c:axId val="1629625392"/>
      </c:barChart>
      <c:catAx>
        <c:axId val="1629622128"/>
        <c:scaling>
          <c:orientation val="minMax"/>
        </c:scaling>
        <c:delete val="0"/>
        <c:axPos val="b"/>
        <c:numFmt formatCode="General" sourceLinked="1"/>
        <c:majorTickMark val="none"/>
        <c:minorTickMark val="none"/>
        <c:tickLblPos val="nextTo"/>
        <c:txPr>
          <a:bodyPr/>
          <a:lstStyle/>
          <a:p>
            <a:pPr>
              <a:defRPr sz="800"/>
            </a:pPr>
            <a:endParaRPr lang="uk-UA"/>
          </a:p>
        </c:txPr>
        <c:crossAx val="1629625392"/>
        <c:crosses val="autoZero"/>
        <c:auto val="1"/>
        <c:lblAlgn val="ctr"/>
        <c:lblOffset val="100"/>
        <c:noMultiLvlLbl val="0"/>
      </c:catAx>
      <c:valAx>
        <c:axId val="1629625392"/>
        <c:scaling>
          <c:orientation val="minMax"/>
        </c:scaling>
        <c:delete val="1"/>
        <c:axPos val="l"/>
        <c:numFmt formatCode="General" sourceLinked="1"/>
        <c:majorTickMark val="out"/>
        <c:minorTickMark val="none"/>
        <c:tickLblPos val="nextTo"/>
        <c:crossAx val="16296221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TotalTime>
  <Pages>4</Pages>
  <Words>5539</Words>
  <Characters>3158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 Марина Миколаївна</dc:creator>
  <cp:lastModifiedBy>МАРТИНЕНКО Надія Миколаївна</cp:lastModifiedBy>
  <cp:revision>6</cp:revision>
  <cp:lastPrinted>2025-01-08T12:22:00Z</cp:lastPrinted>
  <dcterms:created xsi:type="dcterms:W3CDTF">2025-01-08T11:00:00Z</dcterms:created>
  <dcterms:modified xsi:type="dcterms:W3CDTF">2025-01-09T07:49:00Z</dcterms:modified>
</cp:coreProperties>
</file>