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86" w:rsidRPr="00020ACD" w:rsidRDefault="00D05586" w:rsidP="00D05586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D05586" w:rsidRPr="004724E0" w:rsidRDefault="00D05586" w:rsidP="00D05586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D05586" w:rsidRPr="00020ACD" w:rsidRDefault="00D05586" w:rsidP="00D05586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УКПГ-13</w:t>
      </w:r>
      <w:r w:rsidRPr="004724E0">
        <w:rPr>
          <w:b/>
          <w:bCs/>
          <w:i/>
          <w:iCs/>
          <w:lang w:val="uk-UA"/>
        </w:rPr>
        <w:t xml:space="preserve"> </w:t>
      </w:r>
      <w:proofErr w:type="spellStart"/>
      <w:r w:rsidRPr="004724E0">
        <w:rPr>
          <w:b/>
          <w:bCs/>
          <w:i/>
          <w:iCs/>
          <w:lang w:val="uk-UA"/>
        </w:rPr>
        <w:t>Шебелинського</w:t>
      </w:r>
      <w:proofErr w:type="spellEnd"/>
      <w:r w:rsidRPr="004724E0">
        <w:rPr>
          <w:b/>
          <w:bCs/>
          <w:i/>
          <w:iCs/>
          <w:lang w:val="uk-UA"/>
        </w:rPr>
        <w:t xml:space="preserve"> 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D05586" w:rsidRPr="00D75E08" w:rsidRDefault="00D05586" w:rsidP="00D05586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D05586" w:rsidRPr="003C30C7" w:rsidRDefault="00D05586" w:rsidP="00D05586">
      <w:pPr>
        <w:pStyle w:val="a6"/>
        <w:widowControl w:val="0"/>
        <w:spacing w:after="0"/>
        <w:ind w:left="708"/>
        <w:jc w:val="both"/>
        <w:rPr>
          <w:lang w:val="uk-UA"/>
        </w:rPr>
      </w:pPr>
      <w:r w:rsidRPr="002C5A6A">
        <w:rPr>
          <w:rFonts w:ascii="Times New Roman" w:hAnsi="Times New Roman"/>
          <w:b/>
          <w:sz w:val="24"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D05586" w:rsidRDefault="00D05586" w:rsidP="00D05586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D05586" w:rsidRDefault="00D05586" w:rsidP="00D05586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газу-13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УКПГ-13 </w:t>
      </w:r>
      <w:proofErr w:type="spellStart"/>
      <w:r>
        <w:rPr>
          <w:lang w:val="uk-UA"/>
        </w:rPr>
        <w:t>Шебелинського</w:t>
      </w:r>
      <w:proofErr w:type="spellEnd"/>
      <w:r w:rsidRPr="00F05CD5">
        <w:rPr>
          <w:lang w:val="uk-UA"/>
        </w:rPr>
        <w:t xml:space="preserve"> ГКР</w:t>
      </w:r>
      <w:r>
        <w:rPr>
          <w:lang w:val="uk-UA"/>
        </w:rPr>
        <w:t xml:space="preserve">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</w:t>
      </w:r>
      <w:r w:rsidRPr="006A0CAA">
        <w:rPr>
          <w:lang w:val="uk-UA"/>
        </w:rPr>
        <w:t xml:space="preserve">Харківська обл., </w:t>
      </w:r>
      <w:r>
        <w:rPr>
          <w:lang w:val="uk-UA"/>
        </w:rPr>
        <w:t>Ізюмський район</w:t>
      </w:r>
      <w:r w:rsidRPr="006A0CAA">
        <w:rPr>
          <w:lang w:val="uk-UA"/>
        </w:rPr>
        <w:t xml:space="preserve">, </w:t>
      </w:r>
      <w:r>
        <w:rPr>
          <w:lang w:val="uk-UA"/>
        </w:rPr>
        <w:t>Донецька селищна територіальна</w:t>
      </w:r>
      <w:r w:rsidRPr="006A0CAA">
        <w:rPr>
          <w:lang w:val="uk-UA"/>
        </w:rPr>
        <w:t xml:space="preserve"> громада</w:t>
      </w:r>
      <w:r>
        <w:rPr>
          <w:lang w:val="uk-UA"/>
        </w:rPr>
        <w:t xml:space="preserve">, поблизу с. </w:t>
      </w:r>
      <w:proofErr w:type="spellStart"/>
      <w:r>
        <w:rPr>
          <w:lang w:val="uk-UA"/>
        </w:rPr>
        <w:t>П’ятигірське</w:t>
      </w:r>
      <w:proofErr w:type="spellEnd"/>
      <w:r>
        <w:rPr>
          <w:lang w:val="uk-UA"/>
        </w:rPr>
        <w:t>.</w:t>
      </w:r>
    </w:p>
    <w:p w:rsidR="00D05586" w:rsidRPr="00B97DEB" w:rsidRDefault="00D05586" w:rsidP="00D05586">
      <w:pPr>
        <w:pStyle w:val="a4"/>
        <w:ind w:firstLine="709"/>
        <w:jc w:val="both"/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D05586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«Про </w:t>
      </w:r>
      <w:proofErr w:type="spellStart"/>
      <w:r w:rsidRPr="00B97DEB">
        <w:t>оцінку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довкілля» та на </w:t>
      </w:r>
      <w:proofErr w:type="spellStart"/>
      <w:r w:rsidRPr="00B97DEB">
        <w:t>майданчику</w:t>
      </w:r>
      <w:proofErr w:type="spellEnd"/>
      <w:r w:rsidRPr="00B97DEB">
        <w:t xml:space="preserve"> не </w:t>
      </w:r>
      <w:proofErr w:type="spellStart"/>
      <w:r w:rsidRPr="00B97DEB">
        <w:t>відбувалися</w:t>
      </w:r>
      <w:proofErr w:type="spellEnd"/>
      <w:r w:rsidRPr="00B97DEB">
        <w:t xml:space="preserve"> </w:t>
      </w:r>
      <w:proofErr w:type="spellStart"/>
      <w:r w:rsidRPr="00B97DEB">
        <w:t>зміни</w:t>
      </w:r>
      <w:proofErr w:type="spellEnd"/>
      <w:r w:rsidRPr="00B97DEB">
        <w:t xml:space="preserve">, </w:t>
      </w:r>
      <w:proofErr w:type="spellStart"/>
      <w:r w:rsidRPr="00B97DEB">
        <w:t>які</w:t>
      </w:r>
      <w:proofErr w:type="spellEnd"/>
      <w:r w:rsidRPr="00B97DEB">
        <w:t xml:space="preserve"> </w:t>
      </w:r>
      <w:proofErr w:type="spellStart"/>
      <w:r w:rsidRPr="00B97DEB">
        <w:t>справляють</w:t>
      </w:r>
      <w:proofErr w:type="spellEnd"/>
      <w:r w:rsidRPr="00B97DEB">
        <w:t xml:space="preserve"> </w:t>
      </w:r>
      <w:proofErr w:type="spellStart"/>
      <w:r w:rsidRPr="00B97DEB">
        <w:t>значний</w:t>
      </w:r>
      <w:proofErr w:type="spellEnd"/>
      <w:r w:rsidRPr="00B97DEB">
        <w:t xml:space="preserve"> </w:t>
      </w:r>
      <w:proofErr w:type="spellStart"/>
      <w:r w:rsidRPr="00B97DEB">
        <w:t>вплив</w:t>
      </w:r>
      <w:proofErr w:type="spellEnd"/>
      <w:r w:rsidRPr="00B97DEB">
        <w:t xml:space="preserve"> на довкілля </w:t>
      </w:r>
      <w:proofErr w:type="spellStart"/>
      <w:r w:rsidRPr="00B97DEB">
        <w:t>Оцінка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довкілля на </w:t>
      </w:r>
      <w:proofErr w:type="spellStart"/>
      <w:r w:rsidRPr="00B97DEB">
        <w:t>об'єкті</w:t>
      </w:r>
      <w:proofErr w:type="spellEnd"/>
      <w:r w:rsidRPr="00B97DEB">
        <w:t xml:space="preserve"> не проводилась. </w:t>
      </w:r>
    </w:p>
    <w:p w:rsidR="00D05586" w:rsidRPr="00FA7E47" w:rsidRDefault="00D05586" w:rsidP="00D05586">
      <w:pPr>
        <w:spacing w:line="276" w:lineRule="auto"/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філія ГПУ «</w:t>
      </w:r>
      <w:proofErr w:type="spellStart"/>
      <w:r w:rsidRPr="008D4CD1">
        <w:rPr>
          <w:lang w:val="uk-UA"/>
        </w:rPr>
        <w:t>Шебелинкагазвидобування</w:t>
      </w:r>
      <w:proofErr w:type="spellEnd"/>
      <w:r w:rsidRPr="008D4CD1">
        <w:rPr>
          <w:lang w:val="uk-UA"/>
        </w:rPr>
        <w:t>» У</w:t>
      </w:r>
      <w:r>
        <w:rPr>
          <w:lang w:val="uk-UA"/>
        </w:rPr>
        <w:t>К</w:t>
      </w:r>
      <w:r w:rsidRPr="008D4CD1">
        <w:rPr>
          <w:lang w:val="uk-UA"/>
        </w:rPr>
        <w:t>ПГ</w:t>
      </w:r>
      <w:r>
        <w:rPr>
          <w:lang w:val="uk-UA"/>
        </w:rPr>
        <w:t>-13</w:t>
      </w:r>
      <w:r w:rsidRPr="008D4CD1">
        <w:rPr>
          <w:lang w:val="uk-UA"/>
        </w:rPr>
        <w:t xml:space="preserve"> </w:t>
      </w:r>
      <w:proofErr w:type="spellStart"/>
      <w:r>
        <w:rPr>
          <w:lang w:val="uk-UA"/>
        </w:rPr>
        <w:t>Шебелинського</w:t>
      </w:r>
      <w:proofErr w:type="spellEnd"/>
      <w:r>
        <w:rPr>
          <w:lang w:val="uk-UA"/>
        </w:rPr>
        <w:t xml:space="preserve"> ГКР 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</w:t>
      </w:r>
      <w:r>
        <w:rPr>
          <w:lang w:val="uk-UA"/>
        </w:rPr>
        <w:t>ий видобуток складає: природний</w:t>
      </w:r>
      <w:r w:rsidRPr="008D4CD1">
        <w:rPr>
          <w:lang w:val="uk-UA"/>
        </w:rPr>
        <w:t xml:space="preserve"> газ –</w:t>
      </w:r>
      <w:r>
        <w:rPr>
          <w:lang w:val="uk-UA"/>
        </w:rPr>
        <w:t xml:space="preserve"> </w:t>
      </w:r>
      <w:r w:rsidRPr="004D35B3">
        <w:rPr>
          <w:lang w:val="uk-UA"/>
        </w:rPr>
        <w:t>87,733</w:t>
      </w:r>
      <w:r>
        <w:rPr>
          <w:lang w:val="uk-UA"/>
        </w:rPr>
        <w:t xml:space="preserve"> </w:t>
      </w:r>
      <w:r w:rsidRPr="008D4CD1">
        <w:rPr>
          <w:lang w:val="uk-UA"/>
        </w:rPr>
        <w:t>млн. м</w:t>
      </w:r>
      <w:r w:rsidRPr="008D4CD1">
        <w:rPr>
          <w:vertAlign w:val="superscript"/>
          <w:lang w:val="uk-UA"/>
        </w:rPr>
        <w:t>3</w:t>
      </w:r>
      <w:r w:rsidRPr="008D4CD1">
        <w:rPr>
          <w:lang w:val="uk-UA"/>
        </w:rPr>
        <w:t xml:space="preserve">,  конденсат – </w:t>
      </w:r>
      <w:r w:rsidRPr="004D35B3">
        <w:rPr>
          <w:lang w:val="uk-UA"/>
        </w:rPr>
        <w:t>50,226</w:t>
      </w:r>
      <w:r>
        <w:rPr>
          <w:lang w:val="uk-UA"/>
        </w:rPr>
        <w:t xml:space="preserve"> т</w:t>
      </w:r>
      <w:r w:rsidRPr="008D4CD1">
        <w:rPr>
          <w:lang w:val="uk-UA"/>
        </w:rPr>
        <w:t>.</w:t>
      </w:r>
    </w:p>
    <w:p w:rsidR="00D05586" w:rsidRPr="00144778" w:rsidRDefault="00D05586" w:rsidP="00D05586">
      <w:pPr>
        <w:pStyle w:val="a4"/>
        <w:ind w:firstLine="709"/>
        <w:jc w:val="both"/>
        <w:rPr>
          <w:lang w:val="uk-UA"/>
        </w:rPr>
      </w:pPr>
      <w:r w:rsidRPr="002E4110">
        <w:rPr>
          <w:lang w:val="uk-UA"/>
        </w:rPr>
        <w:t xml:space="preserve">Видобуток природного газу і газового конденсату із родовища здійснюється за </w:t>
      </w:r>
      <w:r w:rsidRPr="00144778">
        <w:rPr>
          <w:lang w:val="uk-UA"/>
        </w:rPr>
        <w:t>допомогою гірничих виробок (св</w:t>
      </w:r>
      <w:r w:rsidRPr="00144778">
        <w:rPr>
          <w:lang w:val="uk-UA"/>
        </w:rPr>
        <w:t>е</w:t>
      </w:r>
      <w:r w:rsidRPr="00144778">
        <w:rPr>
          <w:lang w:val="uk-UA"/>
        </w:rPr>
        <w:t>рдловин).</w:t>
      </w:r>
    </w:p>
    <w:p w:rsidR="00D05586" w:rsidRDefault="00D05586" w:rsidP="00D05586">
      <w:pPr>
        <w:pStyle w:val="a4"/>
        <w:ind w:firstLine="709"/>
        <w:jc w:val="both"/>
        <w:rPr>
          <w:lang w:val="uk-UA"/>
        </w:rPr>
      </w:pPr>
      <w:r w:rsidRPr="00144778">
        <w:rPr>
          <w:lang w:val="uk-UA"/>
        </w:rPr>
        <w:t>Природний газ із свердловин надходить на вузол вхідних шлейфів. З вузла входу шлейфів газ надходить в газосепаратор жалюзійний СЖ-1 (СЖ-2), де очищується</w:t>
      </w:r>
      <w:r w:rsidRPr="002C5A6A">
        <w:rPr>
          <w:lang w:val="uk-UA"/>
        </w:rPr>
        <w:t xml:space="preserve"> від механічних домішок і від конденсату та води у крапельному стані. Після газосепаратора газ проходить через розширювальну камеру РК-1 (</w:t>
      </w:r>
      <w:proofErr w:type="spellStart"/>
      <w:r w:rsidRPr="002C5A6A">
        <w:rPr>
          <w:lang w:val="uk-UA"/>
        </w:rPr>
        <w:t>дріп</w:t>
      </w:r>
      <w:proofErr w:type="spellEnd"/>
      <w:r w:rsidRPr="002C5A6A">
        <w:rPr>
          <w:lang w:val="uk-UA"/>
        </w:rPr>
        <w:t xml:space="preserve">) і направляється на замірний вузол для заміру витрати газу. РК-1 встановлено для збору рідини з газопроводу. Пройшовши вузол заміру, газ подається в кільцевий газозбірний колектор ШГКР DN 500, а далі на вхід </w:t>
      </w:r>
      <w:proofErr w:type="spellStart"/>
      <w:r w:rsidRPr="002C5A6A">
        <w:rPr>
          <w:lang w:val="uk-UA"/>
        </w:rPr>
        <w:t>Червонодонецької</w:t>
      </w:r>
      <w:proofErr w:type="spellEnd"/>
      <w:r w:rsidRPr="002C5A6A">
        <w:rPr>
          <w:lang w:val="uk-UA"/>
        </w:rPr>
        <w:t xml:space="preserve"> </w:t>
      </w:r>
      <w:proofErr w:type="spellStart"/>
      <w:r w:rsidRPr="002C5A6A">
        <w:rPr>
          <w:lang w:val="uk-UA"/>
        </w:rPr>
        <w:t>дотискної</w:t>
      </w:r>
      <w:proofErr w:type="spellEnd"/>
      <w:r w:rsidRPr="002C5A6A">
        <w:rPr>
          <w:lang w:val="uk-UA"/>
        </w:rPr>
        <w:t xml:space="preserve"> компресорної станції.</w:t>
      </w:r>
    </w:p>
    <w:p w:rsidR="00D05586" w:rsidRDefault="00D05586" w:rsidP="00D05586">
      <w:pPr>
        <w:pStyle w:val="a4"/>
        <w:ind w:firstLine="709"/>
        <w:jc w:val="both"/>
        <w:rPr>
          <w:lang w:val="uk-UA"/>
        </w:rPr>
      </w:pPr>
      <w:r w:rsidRPr="00144778">
        <w:rPr>
          <w:lang w:val="uk-UA"/>
        </w:rPr>
        <w:t xml:space="preserve">Частина газу після газосепаратора СЖ-1 (СЖ-2) відгалужується і подається на власні потреби УКПГ та для місцевого споживача. Відібраний газ підігрівається в вогневому підігрівачі ОП (при потребі) і подається на вузол редукування. На вузол редукування також є можливість подавати газ із кільцевого газозбірного </w:t>
      </w:r>
      <w:proofErr w:type="spellStart"/>
      <w:r w:rsidRPr="00144778">
        <w:rPr>
          <w:lang w:val="uk-UA"/>
        </w:rPr>
        <w:t>колектора</w:t>
      </w:r>
      <w:proofErr w:type="spellEnd"/>
      <w:r w:rsidRPr="00144778">
        <w:rPr>
          <w:lang w:val="uk-UA"/>
        </w:rPr>
        <w:t xml:space="preserve"> ШГКР. Газ підігрівається для виключення утворення гідратів при редукуванні. Після редукування газ проходить через розширювальну камеру РК-2 і направляється на замірний вузол для заміру витрати газу споживачам. Далі газ подається в газопровід на с. </w:t>
      </w:r>
      <w:proofErr w:type="spellStart"/>
      <w:r w:rsidRPr="00144778">
        <w:rPr>
          <w:lang w:val="uk-UA"/>
        </w:rPr>
        <w:t>П’ятигірське</w:t>
      </w:r>
      <w:proofErr w:type="spellEnd"/>
      <w:r w:rsidRPr="00144778">
        <w:rPr>
          <w:lang w:val="uk-UA"/>
        </w:rPr>
        <w:t xml:space="preserve"> та </w:t>
      </w:r>
      <w:proofErr w:type="spellStart"/>
      <w:r w:rsidRPr="00144778">
        <w:rPr>
          <w:lang w:val="uk-UA"/>
        </w:rPr>
        <w:t>промбазу</w:t>
      </w:r>
      <w:proofErr w:type="spellEnd"/>
      <w:r w:rsidRPr="00144778">
        <w:rPr>
          <w:lang w:val="uk-UA"/>
        </w:rPr>
        <w:t xml:space="preserve"> Курган.</w:t>
      </w:r>
    </w:p>
    <w:p w:rsidR="00D05586" w:rsidRPr="00144778" w:rsidRDefault="00D05586" w:rsidP="00D05586">
      <w:pPr>
        <w:pStyle w:val="a4"/>
        <w:ind w:firstLine="709"/>
        <w:jc w:val="both"/>
        <w:rPr>
          <w:lang w:val="uk-UA"/>
        </w:rPr>
      </w:pPr>
      <w:proofErr w:type="spellStart"/>
      <w:r w:rsidRPr="00144778">
        <w:rPr>
          <w:lang w:val="uk-UA"/>
        </w:rPr>
        <w:t>Відсепарована</w:t>
      </w:r>
      <w:proofErr w:type="spellEnd"/>
      <w:r w:rsidRPr="00144778">
        <w:rPr>
          <w:lang w:val="uk-UA"/>
        </w:rPr>
        <w:t xml:space="preserve"> рідина, що відокремилась в газосепараторі СЖ-1 (СЖ-2), продувається в ручному режимі в атмосферну ємність-розділювач Е-1, де відбувається поділ рідини на конденсат і пластову воду і їх дегазація.</w:t>
      </w:r>
    </w:p>
    <w:p w:rsidR="00D05586" w:rsidRPr="00144778" w:rsidRDefault="00D05586" w:rsidP="00D05586">
      <w:pPr>
        <w:pStyle w:val="a4"/>
        <w:ind w:firstLine="709"/>
        <w:jc w:val="both"/>
        <w:rPr>
          <w:lang w:val="uk-UA"/>
        </w:rPr>
      </w:pPr>
      <w:r w:rsidRPr="00144778">
        <w:rPr>
          <w:lang w:val="uk-UA"/>
        </w:rPr>
        <w:t>Конденсат із ємності Є-1 поступає в підземну ємність зберігання конденсату Є-2. По мірі заповнення ємності Є-2 конденсат передавлюється за допомогою газу через наливний стояк в автоцистерни.</w:t>
      </w:r>
    </w:p>
    <w:p w:rsidR="00D05586" w:rsidRDefault="00D05586" w:rsidP="00D05586">
      <w:pPr>
        <w:pStyle w:val="a4"/>
        <w:ind w:firstLine="709"/>
        <w:jc w:val="both"/>
        <w:rPr>
          <w:lang w:val="uk-UA"/>
        </w:rPr>
      </w:pPr>
      <w:r w:rsidRPr="00144778">
        <w:rPr>
          <w:lang w:val="uk-UA"/>
        </w:rPr>
        <w:lastRenderedPageBreak/>
        <w:t>Пластова вода з розділювача Є-1 самопливом перетікає в підземну ємність промислових стоків ЄПС. З ємності ЄПС пластова вода, по мірі накопичення, відкачується агрегатом в автоцистерни та вивозиться на УКПГ-27 ШГКР для повернення в надра.</w:t>
      </w:r>
    </w:p>
    <w:p w:rsidR="00D05586" w:rsidRDefault="00D05586" w:rsidP="00D0558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 w:rsidRPr="00144778">
        <w:rPr>
          <w:lang w:val="uk-UA"/>
        </w:rPr>
        <w:t xml:space="preserve">водяний підігрівач "Титан № 1"; наземна ємність роздільник Є-1, об'ємом 25 м3 (дегазація конденсату, продувка сепараторів СЖ-1, (CЖ-2 резерв), ОС; зберігання конденсату); плита газова (ПГ-2); котел АОГВ-30; вогневий підігрівач «ВП», котел АОГВ-12; наливний стояк (наливання конденсату в автоцистерну); водяний підігрівач "Титан № 2"; факельний </w:t>
      </w:r>
      <w:proofErr w:type="spellStart"/>
      <w:r w:rsidRPr="00144778">
        <w:rPr>
          <w:lang w:val="uk-UA"/>
        </w:rPr>
        <w:t>амбар</w:t>
      </w:r>
      <w:proofErr w:type="spellEnd"/>
      <w:r w:rsidRPr="00144778">
        <w:rPr>
          <w:lang w:val="uk-UA"/>
        </w:rPr>
        <w:t xml:space="preserve"> УКПГ (проведення ППР на вимірювальній ділянці, </w:t>
      </w:r>
      <w:proofErr w:type="spellStart"/>
      <w:r w:rsidRPr="00144778">
        <w:rPr>
          <w:lang w:val="uk-UA"/>
        </w:rPr>
        <w:t>стравлювання</w:t>
      </w:r>
      <w:proofErr w:type="spellEnd"/>
      <w:r w:rsidRPr="00144778">
        <w:rPr>
          <w:lang w:val="uk-UA"/>
        </w:rPr>
        <w:t xml:space="preserve"> газу при проведенні ППР сепараторів СЖ-1, (СЖ-2), МБ, при </w:t>
      </w:r>
      <w:proofErr w:type="spellStart"/>
      <w:r w:rsidRPr="00144778">
        <w:rPr>
          <w:lang w:val="uk-UA"/>
        </w:rPr>
        <w:t>передавці</w:t>
      </w:r>
      <w:proofErr w:type="spellEnd"/>
      <w:r w:rsidRPr="00144778">
        <w:rPr>
          <w:lang w:val="uk-UA"/>
        </w:rPr>
        <w:t xml:space="preserve"> конденсату, метанолу, заправці МБ, продувці свердловин); факельний </w:t>
      </w:r>
      <w:proofErr w:type="spellStart"/>
      <w:r w:rsidRPr="00144778">
        <w:rPr>
          <w:lang w:val="uk-UA"/>
        </w:rPr>
        <w:t>амбар</w:t>
      </w:r>
      <w:proofErr w:type="spellEnd"/>
      <w:r w:rsidRPr="00144778">
        <w:rPr>
          <w:lang w:val="uk-UA"/>
        </w:rPr>
        <w:t xml:space="preserve"> (накопичення технологічного шламу); підземна ємність Є-6-2, об'ємом 22 м3; підземна ємність Є-6-1, об'ємом 22 м3; підземна ємність Є-2, об'ємом 6 м3; ємність підземна ЄПС, об'ємом 25 м3; свіча </w:t>
      </w:r>
      <w:proofErr w:type="spellStart"/>
      <w:r w:rsidRPr="00144778">
        <w:rPr>
          <w:lang w:val="uk-UA"/>
        </w:rPr>
        <w:t>одоризаційної</w:t>
      </w:r>
      <w:proofErr w:type="spellEnd"/>
      <w:r w:rsidRPr="00144778">
        <w:rPr>
          <w:lang w:val="uk-UA"/>
        </w:rPr>
        <w:t xml:space="preserve"> установки; фарбування пензлем; факельні </w:t>
      </w:r>
      <w:proofErr w:type="spellStart"/>
      <w:r w:rsidRPr="00144778">
        <w:rPr>
          <w:lang w:val="uk-UA"/>
        </w:rPr>
        <w:t>амбари</w:t>
      </w:r>
      <w:proofErr w:type="spellEnd"/>
      <w:r w:rsidRPr="00144778">
        <w:rPr>
          <w:lang w:val="uk-UA"/>
        </w:rPr>
        <w:t xml:space="preserve"> свердловин; свіча </w:t>
      </w:r>
      <w:proofErr w:type="spellStart"/>
      <w:r w:rsidRPr="00144778">
        <w:rPr>
          <w:lang w:val="uk-UA"/>
        </w:rPr>
        <w:t>одоризаційної</w:t>
      </w:r>
      <w:proofErr w:type="spellEnd"/>
      <w:r w:rsidRPr="00144778">
        <w:rPr>
          <w:lang w:val="uk-UA"/>
        </w:rPr>
        <w:t xml:space="preserve"> установки; свіча ШРУ (</w:t>
      </w:r>
      <w:proofErr w:type="spellStart"/>
      <w:r w:rsidRPr="00144778">
        <w:rPr>
          <w:lang w:val="uk-UA"/>
        </w:rPr>
        <w:t>стравлювання</w:t>
      </w:r>
      <w:proofErr w:type="spellEnd"/>
      <w:r w:rsidRPr="00144778">
        <w:rPr>
          <w:lang w:val="uk-UA"/>
        </w:rPr>
        <w:t xml:space="preserve"> газу при ремонтних роботах (2 свічки)); свіча ШРУ (</w:t>
      </w:r>
      <w:proofErr w:type="spellStart"/>
      <w:r w:rsidRPr="00144778">
        <w:rPr>
          <w:lang w:val="uk-UA"/>
        </w:rPr>
        <w:t>стравлювання</w:t>
      </w:r>
      <w:proofErr w:type="spellEnd"/>
      <w:r w:rsidRPr="00144778">
        <w:rPr>
          <w:lang w:val="uk-UA"/>
        </w:rPr>
        <w:t xml:space="preserve"> газу при ремонтних роботах (1 свічка)); дренаж ємності Є-1; місце зливу метанолу (злив метанолу з автоцистерни в ємності Є-6-1, Є-6-2).</w:t>
      </w:r>
    </w:p>
    <w:p w:rsidR="00D05586" w:rsidRPr="005A4249" w:rsidRDefault="00D05586" w:rsidP="00D0558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>:</w:t>
      </w:r>
      <w:r>
        <w:rPr>
          <w:lang w:val="uk-UA"/>
        </w:rPr>
        <w:t xml:space="preserve"> 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4F7D09">
        <w:rPr>
          <w:lang w:val="uk-UA"/>
        </w:rPr>
        <w:t>4,931</w:t>
      </w:r>
      <w:r>
        <w:rPr>
          <w:lang w:val="uk-UA"/>
        </w:rPr>
        <w:t xml:space="preserve"> т/рік;</w:t>
      </w:r>
      <w:r w:rsidRPr="00B97DEB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4F7D09">
        <w:rPr>
          <w:lang w:val="uk-UA"/>
        </w:rPr>
        <w:t>5,01</w:t>
      </w:r>
      <w:r>
        <w:rPr>
          <w:lang w:val="uk-UA"/>
        </w:rPr>
        <w:t>0 т/рік;</w:t>
      </w:r>
      <w:r w:rsidRPr="00842EF6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4F7D09">
        <w:rPr>
          <w:lang w:val="uk-UA"/>
        </w:rPr>
        <w:t>31,603</w:t>
      </w:r>
      <w:r>
        <w:rPr>
          <w:lang w:val="uk-UA"/>
        </w:rPr>
        <w:t xml:space="preserve">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4F7D09">
        <w:rPr>
          <w:lang w:val="uk-UA"/>
        </w:rPr>
        <w:t>20,727</w:t>
      </w:r>
      <w:r>
        <w:rPr>
          <w:lang w:val="uk-UA"/>
        </w:rPr>
        <w:t xml:space="preserve"> т/рік; 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4F7D09">
        <w:rPr>
          <w:lang w:val="uk-UA"/>
        </w:rPr>
        <w:t>0,034</w:t>
      </w:r>
      <w:r>
        <w:rPr>
          <w:lang w:val="uk-UA"/>
        </w:rPr>
        <w:t xml:space="preserve"> т/рік;</w:t>
      </w:r>
      <w:r w:rsidRPr="00842EF6">
        <w:rPr>
          <w:lang w:val="uk-UA"/>
        </w:rPr>
        <w:t xml:space="preserve"> </w:t>
      </w:r>
      <w:r>
        <w:rPr>
          <w:lang w:val="uk-UA"/>
        </w:rPr>
        <w:t xml:space="preserve">спирт метиловий – </w:t>
      </w:r>
      <w:r w:rsidRPr="004F7D09">
        <w:rPr>
          <w:lang w:val="uk-UA"/>
        </w:rPr>
        <w:t>0,00004</w:t>
      </w:r>
      <w:r>
        <w:rPr>
          <w:lang w:val="uk-UA"/>
        </w:rPr>
        <w:t xml:space="preserve">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4F7D09">
        <w:rPr>
          <w:lang w:val="uk-UA"/>
        </w:rPr>
        <w:t>0,167</w:t>
      </w:r>
      <w:r>
        <w:rPr>
          <w:lang w:val="uk-UA"/>
        </w:rPr>
        <w:t xml:space="preserve"> т/рік;</w:t>
      </w:r>
      <w:r w:rsidRPr="00842EF6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4F7D09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4F7D09">
        <w:rPr>
          <w:lang w:val="uk-UA"/>
        </w:rPr>
        <w:t>0,736</w:t>
      </w:r>
      <w:r>
        <w:rPr>
          <w:lang w:val="uk-UA"/>
        </w:rPr>
        <w:t xml:space="preserve"> т/рік та парникові гази. Валовий викид складатиме –  63,257 т/рік (без урахування парникових газів). </w:t>
      </w:r>
    </w:p>
    <w:p w:rsidR="00D05586" w:rsidRPr="00020ACD" w:rsidRDefault="00D05586" w:rsidP="00D0558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D05586" w:rsidRPr="00D05586" w:rsidRDefault="00D05586" w:rsidP="00D05586">
      <w:pPr>
        <w:pStyle w:val="rvts9"/>
        <w:spacing w:line="276" w:lineRule="auto"/>
        <w:ind w:firstLine="708"/>
        <w:jc w:val="both"/>
        <w:rPr>
          <w:lang w:val="uk-UA"/>
        </w:rPr>
      </w:pPr>
      <w:r w:rsidRPr="00D05586">
        <w:rPr>
          <w:lang w:val="uk-UA"/>
        </w:rPr>
        <w:t>Відповідно до матеріалів що обґрунтовують обсяги викидів забруднюючих речовин, на об’єкті немає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D05586" w:rsidRDefault="00D05586" w:rsidP="00D05586">
      <w:pPr>
        <w:pStyle w:val="rvts9"/>
        <w:spacing w:line="276" w:lineRule="auto"/>
        <w:ind w:firstLine="708"/>
        <w:jc w:val="both"/>
        <w:rPr>
          <w:i/>
        </w:rPr>
      </w:pPr>
      <w:r w:rsidRPr="00D05586">
        <w:rPr>
          <w:i/>
          <w:lang w:val="uk-UA"/>
        </w:rPr>
        <w:t xml:space="preserve">Зауваження та пропозиції </w:t>
      </w:r>
      <w:r w:rsidRPr="00D05586">
        <w:rPr>
          <w:i/>
          <w:iCs/>
          <w:lang w:val="uk-UA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</w:t>
      </w:r>
      <w:proofErr w:type="spellStart"/>
      <w:r>
        <w:rPr>
          <w:i/>
          <w:iCs/>
        </w:rPr>
        <w:t>Сумська</w:t>
      </w:r>
      <w:proofErr w:type="spellEnd"/>
      <w:r>
        <w:rPr>
          <w:i/>
          <w:iCs/>
        </w:rPr>
        <w:t xml:space="preserve">, 64, тел.(057)7052153, </w:t>
      </w:r>
      <w:r w:rsidRPr="00020ACD">
        <w:rPr>
          <w:i/>
          <w:shd w:val="clear" w:color="auto" w:fill="FFFFFF"/>
        </w:rPr>
        <w:t>E-</w:t>
      </w:r>
      <w:proofErr w:type="spellStart"/>
      <w:r w:rsidRPr="00020ACD">
        <w:rPr>
          <w:i/>
          <w:shd w:val="clear" w:color="auto" w:fill="FFFFFF"/>
        </w:rPr>
        <w:t>mail</w:t>
      </w:r>
      <w:proofErr w:type="spellEnd"/>
      <w:r w:rsidRPr="00020ACD">
        <w:rPr>
          <w:i/>
          <w:shd w:val="clear" w:color="auto" w:fill="FFFFFF"/>
        </w:rPr>
        <w:t>: </w:t>
      </w:r>
      <w:hyperlink r:id="rId5" w:history="1">
        <w:r w:rsidRPr="00172840">
          <w:rPr>
            <w:rStyle w:val="a5"/>
            <w:i/>
          </w:rPr>
          <w:t>obladm@kharkivoda.gov.ua</w:t>
        </w:r>
      </w:hyperlink>
      <w:r w:rsidRPr="00020ACD">
        <w:rPr>
          <w:i/>
        </w:rPr>
        <w:t>.</w:t>
      </w:r>
    </w:p>
    <w:p w:rsidR="00D94249" w:rsidRDefault="00D94249">
      <w:bookmarkStart w:id="0" w:name="_GoBack"/>
      <w:bookmarkEnd w:id="0"/>
    </w:p>
    <w:sectPr w:rsidR="00D9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50"/>
    <w:rsid w:val="00385A50"/>
    <w:rsid w:val="00D05586"/>
    <w:rsid w:val="00D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8EF03-B04B-4E27-83E1-33F3F9F7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D05586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D055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Основной"/>
    <w:basedOn w:val="a3"/>
    <w:rsid w:val="00D05586"/>
    <w:pPr>
      <w:spacing w:line="360" w:lineRule="auto"/>
      <w:ind w:left="567"/>
      <w:jc w:val="both"/>
    </w:pPr>
    <w:rPr>
      <w:rFonts w:ascii="Arial" w:hAnsi="Arial"/>
      <w:sz w:val="22"/>
      <w:lang w:eastAsia="en-US"/>
    </w:rPr>
  </w:style>
  <w:style w:type="character" w:customStyle="1" w:styleId="rvts9">
    <w:name w:val="rvts9"/>
    <w:rsid w:val="00D05586"/>
  </w:style>
  <w:style w:type="paragraph" w:styleId="a6">
    <w:name w:val="List Paragraph"/>
    <w:basedOn w:val="a"/>
    <w:link w:val="a7"/>
    <w:uiPriority w:val="34"/>
    <w:qFormat/>
    <w:rsid w:val="00D05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у Знак"/>
    <w:link w:val="a6"/>
    <w:uiPriority w:val="34"/>
    <w:locked/>
    <w:rsid w:val="00D0558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2025-02-17T15:21:00Z</dcterms:created>
  <dcterms:modified xsi:type="dcterms:W3CDTF">2025-02-17T15:23:00Z</dcterms:modified>
</cp:coreProperties>
</file>