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C0" w:rsidRDefault="00F94757">
      <w:pPr>
        <w:pStyle w:val="ab"/>
        <w:ind w:firstLine="709"/>
        <w:jc w:val="center"/>
        <w:rPr>
          <w:rFonts w:eastAsia="Times New Roman" w:cs="Times New Roman"/>
          <w:b/>
        </w:rPr>
      </w:pPr>
      <w:bookmarkStart w:id="0" w:name="OLE_LINK29"/>
      <w:bookmarkStart w:id="1" w:name="OLE_LINK74"/>
      <w:bookmarkStart w:id="2" w:name="OLE_LINK30"/>
      <w:bookmarkStart w:id="3" w:name="OLE_LINK164"/>
      <w:bookmarkStart w:id="4" w:name="OLE_LINK173"/>
      <w:r>
        <w:rPr>
          <w:rFonts w:eastAsia="Times New Roman" w:cs="Times New Roman"/>
          <w:b/>
        </w:rPr>
        <w:t>ПОВІДОМЛЕННЯ ПРО НАМІР ОТРИМАТИ ДОЗВІЛ НА ВИКИДИ</w:t>
      </w:r>
    </w:p>
    <w:p w:rsidR="002E18C0" w:rsidRDefault="002E18C0">
      <w:pPr>
        <w:pStyle w:val="ab"/>
        <w:ind w:firstLine="709"/>
        <w:jc w:val="center"/>
        <w:rPr>
          <w:rFonts w:eastAsia="Times New Roman" w:cs="Times New Roman"/>
        </w:rPr>
      </w:pPr>
    </w:p>
    <w:bookmarkEnd w:id="0"/>
    <w:bookmarkEnd w:id="1"/>
    <w:bookmarkEnd w:id="2"/>
    <w:bookmarkEnd w:id="3"/>
    <w:bookmarkEnd w:id="4"/>
    <w:p w:rsidR="002E18C0" w:rsidRPr="009F2F0C" w:rsidRDefault="00F94757" w:rsidP="0061033B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Повне та скорочене найменування суб’єкта господарювання: </w:t>
      </w:r>
      <w:r w:rsidR="0061033B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ПРИВАТНЕ</w:t>
      </w:r>
      <w:r w:rsidR="006F5393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АКЦІОНЕРНЕ ТОВАРИСТВО «МХП» (ПР</w:t>
      </w:r>
      <w:bookmarkStart w:id="5" w:name="_GoBack"/>
      <w:bookmarkEnd w:id="5"/>
      <w:r w:rsidR="0061033B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«МХП»).</w:t>
      </w:r>
    </w:p>
    <w:p w:rsidR="002E18C0" w:rsidRPr="009F2F0C" w:rsidRDefault="00F94757" w:rsidP="0061033B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Ідентифікаційний код юридичної особи в ЄДРПОУ</w:t>
      </w:r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1033B"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>25412361</w:t>
      </w:r>
    </w:p>
    <w:p w:rsidR="002E18C0" w:rsidRPr="009F2F0C" w:rsidRDefault="00F94757" w:rsidP="006103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="0061033B" w:rsidRPr="009F2F0C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01609, </w:t>
      </w:r>
      <w:r w:rsidR="0061033B" w:rsidRPr="009F2F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Київська обл., Обухівський р-н,                       м. Миронівка, вул.</w:t>
      </w:r>
      <w:r w:rsidR="009F2F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1033B" w:rsidRPr="009F2F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Елеваторна, буд.1</w:t>
      </w:r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тел.: </w:t>
      </w:r>
      <w:hyperlink r:id="rId6" w:history="1">
        <w:r w:rsidRPr="009F2F0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+38 (099) 731-76-84</w:t>
        </w:r>
      </w:hyperlink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е-mail: </w:t>
      </w:r>
      <w:hyperlink r:id="rId7" w:history="1">
        <w:r w:rsidRPr="009F2F0C">
          <w:rPr>
            <w:rStyle w:val="a4"/>
            <w:rFonts w:ascii="Times New Roman" w:hAnsi="Times New Roman" w:cs="Times New Roman"/>
            <w:sz w:val="24"/>
            <w:szCs w:val="24"/>
          </w:rPr>
          <w:t>y.s.boiko@mhp.com.ua</w:t>
        </w:r>
      </w:hyperlink>
      <w:r w:rsidRPr="009F2F0C">
        <w:rPr>
          <w:rFonts w:ascii="Times New Roman" w:hAnsi="Times New Roman" w:cs="Times New Roman"/>
          <w:sz w:val="24"/>
          <w:szCs w:val="24"/>
        </w:rPr>
        <w:t>.</w:t>
      </w:r>
    </w:p>
    <w:p w:rsidR="0061033B" w:rsidRPr="009F2F0C" w:rsidRDefault="000805C3" w:rsidP="0061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Назва промислового майданчика:</w:t>
      </w:r>
      <w:r w:rsidR="009F2F0C" w:rsidRPr="009F2F0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="0061033B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ФІЛІЯ </w:t>
      </w:r>
      <w:r w:rsidR="0061033B" w:rsidRPr="009F2F0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«МʼЯСНИЙ МУЛЬТИКОМПЛЕКС МХП» ПРИВАТНОГО АКЦІОНЕРНОГО ТОВАРИСТВА «МХП».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об’єкта/промислового майданчика: </w:t>
      </w:r>
      <w:r w:rsidRPr="009F2F0C">
        <w:rPr>
          <w:rFonts w:ascii="Times New Roman" w:hAnsi="Times New Roman" w:cs="Times New Roman"/>
          <w:color w:val="000000"/>
          <w:spacing w:val="2"/>
          <w:sz w:val="24"/>
        </w:rPr>
        <w:t>49007, Дніпропетровська обл.,  м. Дніпро,вул. Кротова Бориса, будинок 24.</w:t>
      </w:r>
    </w:p>
    <w:p w:rsidR="002E18C0" w:rsidRDefault="00F94757">
      <w:pPr>
        <w:suppressAutoHyphens/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 отримання дозволу на викиди: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визначення обсягів забруднюючих речовин та отримання дозволу на викиди для новоствореного об’єкту, який відноситься до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другої групи </w:t>
      </w:r>
      <w:r>
        <w:rPr>
          <w:rFonts w:ascii="Times New Roman" w:eastAsia="MS Mincho" w:hAnsi="Times New Roman" w:cs="Times New Roman"/>
          <w:iCs/>
          <w:sz w:val="24"/>
          <w:szCs w:val="24"/>
          <w:lang w:eastAsia="en-US"/>
        </w:rPr>
        <w:t xml:space="preserve">об’єктів за складом документів, у яких обґрунтовуються обсяги викидів, в залежності від ступеня впливу об’єкта на забруднення атмосферного повітря. </w:t>
      </w:r>
    </w:p>
    <w:p w:rsidR="002E18C0" w:rsidRPr="003C565E" w:rsidRDefault="00F9475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Відомості про </w:t>
      </w:r>
      <w:r w:rsidRPr="003C56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довкілля. </w:t>
      </w:r>
      <w:r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 з оцінки впливу на довкілля відсутній, оскільки згідно ЗУ «Про оцінку впливу на довкілля» діяльність підприємства не відноситься до видів планованої діяльності та об’єктів, які підлягають оцінці впливу на довкілля.</w:t>
      </w:r>
    </w:p>
    <w:p w:rsidR="002E18C0" w:rsidRDefault="00F9475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5E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uk-UA"/>
        </w:rPr>
        <w:t>Загальний опис об’єкта (опис виробництв та технологічного устаткування)</w:t>
      </w:r>
      <w:r w:rsidRPr="003C5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Підприємство спеціалізується на виготовленні та реалізації мʼясної продукції з мʼяса курятини (</w:t>
      </w:r>
      <w:r w:rsidR="00E94888" w:rsidRPr="003C5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47,2</w:t>
      </w:r>
      <w:r w:rsidRPr="003C5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т/добу). </w:t>
      </w:r>
      <w:r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 на виробничому майданчику знаходиться 6</w:t>
      </w:r>
      <w:r w:rsidR="00C71131"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джерела викидів: </w:t>
      </w:r>
      <w:r w:rsidR="00E94888"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068B"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організовані та 2</w:t>
      </w:r>
      <w:r w:rsidR="00E94888"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неорганізовані. Виробнича структура підприємства включає в себе основне виробництво (виробництво харчової продукції: м’ясо-ковбасні вироби (МКВ),</w:t>
      </w:r>
      <w:r w:rsidR="00E94888"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копчена курка, паштет,</w:t>
      </w:r>
      <w:r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м’ясні снеки </w:t>
      </w:r>
      <w:r w:rsidR="00E94888"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піца) та допоміжне виробництво</w:t>
      </w:r>
      <w:r w:rsidR="00E94888"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>(ЦСМ, ділянки санітарної обробки обладнання та спецодягу, механічна майстерня, аварійне електропостачання, котельня, станція подачі інертного се</w:t>
      </w:r>
      <w:r w:rsidR="00E94888" w:rsidRPr="003C5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редовища, холодильне</w:t>
      </w:r>
      <w:r w:rsidR="00E9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обладнання,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 їдальні</w:t>
      </w:r>
      <w:r w:rsidR="00E94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зона очистки стічних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18C0" w:rsidRDefault="00F94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Основними технологічними процесами, що супроводжуються викидами забруднюючих речовин в атмосферне повітря є: робота вентиляційних систем виробничих ліній, </w:t>
      </w:r>
      <w:r w:rsidR="00E9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 борошна,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робота опалювального обладнання (два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парових котла прямоточних твердопаливних типу КПТ-2,5</w:t>
      </w:r>
      <w:r w:rsidR="00E9488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обладнані циклонами типу ТЦ 1250-1600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робота дизельного генератора FC 500 S-C та дизельних водонагрівачів Kärcher, робота станції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подачі інертного середовища,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ЦСМ, зварювальні та металообробні роботи,  прання спецодягу, дезінфекція обладнання, робота х</w:t>
      </w:r>
      <w:r w:rsidR="00E94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олодильних установок, їдальні та очистка стічних вод.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Відомості щодо видів та обсягів викидів.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Під час роботи підприємства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всього викидається в атмосферу 3</w:t>
      </w:r>
      <w:r w:rsidR="00335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забруднююч</w:t>
      </w:r>
      <w:r w:rsidR="00335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речовин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кількість яких становить </w:t>
      </w:r>
      <w:r w:rsidR="00010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1717,</w:t>
      </w:r>
      <w:r w:rsidR="00C71131" w:rsidRPr="00C71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8462057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т/рік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0EE6" w:rsidRDefault="00F94757" w:rsidP="0001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Потенційні викиди від стаціонарних джерел викидів: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натрію гідроксид (натр їдкий, сода каустична)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0,0689 т/рік; діоксид титану - </w:t>
      </w:r>
      <w:r w:rsidR="00010E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0,0000074 т/рік;</w:t>
      </w:r>
      <w:r w:rsidR="00010EE6" w:rsidRPr="00010EE6">
        <w:rPr>
          <w:rFonts w:ascii="Times New Roman" w:hAnsi="Times New Roman" w:cs="Times New Roman"/>
          <w:sz w:val="24"/>
          <w:szCs w:val="24"/>
        </w:rPr>
        <w:t xml:space="preserve"> </w:t>
      </w:r>
      <w:r w:rsidR="00010EE6">
        <w:rPr>
          <w:rFonts w:ascii="Times New Roman" w:hAnsi="Times New Roman" w:cs="Times New Roman"/>
          <w:sz w:val="24"/>
          <w:szCs w:val="24"/>
        </w:rPr>
        <w:t xml:space="preserve">оксид  вуглецю -  </w:t>
      </w:r>
      <w:r w:rsidR="00010E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2,951268 т/рік;</w:t>
      </w:r>
      <w:r w:rsidR="00010EE6" w:rsidRPr="00010EE6">
        <w:rPr>
          <w:rFonts w:ascii="Times New Roman" w:hAnsi="Times New Roman" w:cs="Times New Roman"/>
          <w:sz w:val="24"/>
          <w:szCs w:val="24"/>
        </w:rPr>
        <w:t xml:space="preserve"> </w:t>
      </w:r>
      <w:r w:rsidR="00010EE6">
        <w:rPr>
          <w:rFonts w:ascii="Times New Roman" w:hAnsi="Times New Roman" w:cs="Times New Roman"/>
          <w:sz w:val="24"/>
          <w:szCs w:val="24"/>
        </w:rPr>
        <w:t xml:space="preserve">вуглецю  діоксид – </w:t>
      </w:r>
      <w:r w:rsidR="00C71131" w:rsidRPr="00C71131">
        <w:rPr>
          <w:rFonts w:ascii="Times New Roman" w:eastAsia="Times New Roman" w:hAnsi="Times New Roman" w:cs="Times New Roman"/>
          <w:sz w:val="24"/>
          <w:szCs w:val="24"/>
          <w:lang w:eastAsia="ru-RU"/>
        </w:rPr>
        <w:t>1688,1019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 – 0,1666 т/рік; залізо та його сполуки (у перерахунку на залізо) - </w:t>
      </w:r>
      <w:r w:rsidR="00010E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0,00036 т/рік; </w:t>
      </w:r>
      <w:r w:rsidR="0001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нікель та його сполуки (у перерахунку на нікель) -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0,0000042 т/рік; хром та його сполуки (у перерахунку на хром) - 0,000014 т/рік; манган та його сполуки (у перерахунку на діоксид мангану) - 0,0000428 т/рік;</w:t>
      </w:r>
      <w:r w:rsidR="00010EE6" w:rsidRPr="00010EE6">
        <w:rPr>
          <w:rFonts w:ascii="Times New Roman" w:hAnsi="Times New Roman" w:cs="Times New Roman"/>
          <w:sz w:val="24"/>
          <w:szCs w:val="24"/>
        </w:rPr>
        <w:t xml:space="preserve"> </w:t>
      </w:r>
      <w:r w:rsidR="00010EE6">
        <w:rPr>
          <w:rFonts w:ascii="Times New Roman" w:hAnsi="Times New Roman" w:cs="Times New Roman"/>
          <w:sz w:val="24"/>
          <w:szCs w:val="24"/>
        </w:rPr>
        <w:t xml:space="preserve">речовини у вигляді суспендованих твердих частинок недиференційованих за  складом </w:t>
      </w:r>
      <w:r w:rsidR="00010EE6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(мікрочастинки та волокна ) – </w:t>
      </w:r>
      <w:r w:rsidR="00C71131" w:rsidRPr="00C71131">
        <w:rPr>
          <w:rFonts w:ascii="Times New Roman" w:eastAsia="Times New Roman" w:hAnsi="Times New Roman" w:cs="Times New Roman"/>
          <w:sz w:val="24"/>
          <w:szCs w:val="24"/>
          <w:lang w:eastAsia="ru-RU"/>
        </w:rPr>
        <w:t>6,1518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 о-фосфорна – 0,0061 т/рік;</w:t>
      </w:r>
      <w:r w:rsidR="00010EE6" w:rsidRPr="00010EE6">
        <w:rPr>
          <w:rStyle w:val="spanrvts0"/>
          <w:rFonts w:eastAsiaTheme="minorEastAsia"/>
        </w:rPr>
        <w:t xml:space="preserve"> </w:t>
      </w:r>
      <w:r w:rsidR="00010EE6">
        <w:rPr>
          <w:rStyle w:val="spanrvts0"/>
          <w:rFonts w:eastAsiaTheme="minorEastAsia"/>
        </w:rPr>
        <w:t xml:space="preserve">кремнію діоксид аморфний -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0,000032 т/рік;</w:t>
      </w:r>
      <w:r w:rsidR="00010EE6" w:rsidRPr="00010EE6">
        <w:rPr>
          <w:rFonts w:ascii="Times New Roman" w:hAnsi="Times New Roman" w:cs="Times New Roman"/>
          <w:sz w:val="24"/>
          <w:szCs w:val="24"/>
        </w:rPr>
        <w:t xml:space="preserve"> </w:t>
      </w:r>
      <w:r w:rsidR="00010EE6">
        <w:rPr>
          <w:rFonts w:ascii="Times New Roman" w:hAnsi="Times New Roman" w:cs="Times New Roman"/>
          <w:sz w:val="24"/>
          <w:szCs w:val="24"/>
        </w:rPr>
        <w:t xml:space="preserve">сажа -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0,00574 т/рік;</w:t>
      </w:r>
      <w:r w:rsidR="00010EE6" w:rsidRPr="00010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EE6">
        <w:rPr>
          <w:rFonts w:ascii="Times New Roman" w:hAnsi="Times New Roman" w:cs="Times New Roman"/>
          <w:color w:val="000000"/>
          <w:sz w:val="24"/>
          <w:szCs w:val="24"/>
        </w:rPr>
        <w:t xml:space="preserve">оксиди азоту (у перерахунку на діоксид азоту </w:t>
      </w:r>
      <w:r w:rsidR="00010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[NO + NО</w:t>
      </w:r>
      <w:r w:rsidR="00010EE6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010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]) –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4,3153 т/рік; </w:t>
      </w:r>
      <w:r w:rsidR="00010EE6">
        <w:rPr>
          <w:rFonts w:ascii="Times New Roman" w:hAnsi="Times New Roman" w:cs="Times New Roman"/>
          <w:color w:val="000000"/>
          <w:sz w:val="24"/>
          <w:szCs w:val="24"/>
        </w:rPr>
        <w:t>азоту (1) оксид [</w:t>
      </w:r>
      <w:r w:rsidR="00010EE6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010EE6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10EE6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010EE6">
        <w:rPr>
          <w:rFonts w:ascii="Times New Roman" w:hAnsi="Times New Roman" w:cs="Times New Roman"/>
          <w:color w:val="000000"/>
          <w:sz w:val="24"/>
          <w:szCs w:val="24"/>
        </w:rPr>
        <w:t xml:space="preserve">] –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0,5144 т/рік;</w:t>
      </w:r>
      <w:r w:rsidR="00010EE6" w:rsidRPr="00010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EE6">
        <w:rPr>
          <w:rFonts w:ascii="Times New Roman" w:hAnsi="Times New Roman" w:cs="Times New Roman"/>
          <w:color w:val="000000"/>
          <w:sz w:val="24"/>
          <w:szCs w:val="24"/>
        </w:rPr>
        <w:t xml:space="preserve">аміак – </w:t>
      </w:r>
      <w:r w:rsidR="00010E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0,0128 т/рік;</w:t>
      </w:r>
      <w:r w:rsidR="00010EE6" w:rsidRPr="00010EE6">
        <w:rPr>
          <w:rFonts w:ascii="Times New Roman" w:hAnsi="Times New Roman" w:cs="Times New Roman"/>
          <w:sz w:val="24"/>
          <w:szCs w:val="24"/>
        </w:rPr>
        <w:t xml:space="preserve"> </w:t>
      </w:r>
      <w:r w:rsidR="00010EE6">
        <w:rPr>
          <w:rFonts w:ascii="Times New Roman" w:hAnsi="Times New Roman" w:cs="Times New Roman"/>
          <w:sz w:val="24"/>
          <w:szCs w:val="24"/>
        </w:rPr>
        <w:t xml:space="preserve">сірки діоксид –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4,1078 т/рік; неметанові леткі органічні сполуки (НМЛОС) – 0,9258 т/рік; </w:t>
      </w:r>
      <w:r w:rsidR="0001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вуглеводні насичені С</w:t>
      </w:r>
      <w:r w:rsidR="00010EE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="0001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="00010EE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19</w:t>
      </w:r>
      <w:r w:rsidR="0001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(розчинник РПК-26511 та ін.) (у</w:t>
      </w:r>
      <w:r w:rsidR="00010EE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010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перерахунку на сумарний органічний вуглець) -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0,1217 т/рік;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альдегід пропіоновий (пропаналь) - 0,126 т/рік,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 пропіловий – 3,0 т/рік; спирт ізопропіловий– 3,0 т/рік;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 етиловий - 2,3382 т/рік;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акролеїн </w:t>
      </w:r>
      <w:r w:rsidR="00C7113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131" w:rsidRPr="00C7113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lastRenderedPageBreak/>
        <w:t>0,00024</w:t>
      </w:r>
      <w:r w:rsidR="00010E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т/рік;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ацетальдегід - 0,0074 т/рік;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фенол – 0,1008 т/рік;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 оцтова – 0,36704 т/рік;</w:t>
      </w:r>
      <w:r w:rsidR="00010E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hAnsi="Times New Roman" w:cs="Times New Roman"/>
          <w:sz w:val="24"/>
          <w:szCs w:val="24"/>
        </w:rPr>
        <w:t xml:space="preserve">хлор та сполуки хлору (у перерахунку на хлор) –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0,1137 т/рік; водню хлорид (соляна кислота за молекулою </w:t>
      </w:r>
      <w:r w:rsidR="00010E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0,0012 т/рік;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фтористі сполуки добре розчинні неорганічні (фтори натрію, гексафторсилікат натрію) у перерахунку на фтор - 0,0000009 т/рік; фтористі сполуки погано розчинні неорганічні (фториалюмінію, гексафторалюмінат натрію) у перерахунку на фтор - 0,000038 т/рік; фтористі сполуки газоподібні (фтористий водень, чотири фтористий кремній) у перерахунку на фтор</w:t>
      </w:r>
      <w:r w:rsidR="00010EE6">
        <w:rPr>
          <w:rStyle w:val="spanrvts0"/>
          <w:rFonts w:eastAsiaTheme="minorEastAsia"/>
        </w:rPr>
        <w:t xml:space="preserve"> -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0,0000184 т/рік;</w:t>
      </w:r>
      <w:r w:rsidR="00010EE6" w:rsidRP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фреон  </w:t>
      </w:r>
      <w:r w:rsidR="00010E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 (пентафтороетан) - </w:t>
      </w:r>
      <w:r w:rsidR="00010E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0,6696 т/рік;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фреон  </w:t>
      </w:r>
      <w:r w:rsidR="00010E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143а (1,1,1- трифтороетан) - </w:t>
      </w:r>
      <w:r w:rsidR="00010EE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0,6708 т/рік та фреон</w:t>
      </w:r>
      <w:r w:rsidR="00010EE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10EE6">
        <w:rPr>
          <w:rFonts w:ascii="Times New Roman" w:hAnsi="Times New Roman" w:cs="Times New Roman"/>
          <w:sz w:val="24"/>
          <w:szCs w:val="24"/>
        </w:rPr>
        <w:t xml:space="preserve">134а (1,1,1,2 - тетрафтороетан) - </w:t>
      </w:r>
      <w:r w:rsidR="00010EE6">
        <w:rPr>
          <w:rFonts w:ascii="Times New Roman" w:eastAsia="Times New Roman" w:hAnsi="Times New Roman" w:cs="Times New Roman"/>
          <w:sz w:val="24"/>
          <w:szCs w:val="24"/>
          <w:lang w:eastAsia="ru-RU"/>
        </w:rPr>
        <w:t>0,0006 т/рік.</w:t>
      </w:r>
    </w:p>
    <w:p w:rsidR="002E18C0" w:rsidRDefault="00F94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Заходи щодо впровадження найкращих існуючих технологій виробництва, що виконані або/та які потребують виконання.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керування, тому заходи не розроблялись.</w:t>
      </w:r>
    </w:p>
    <w:p w:rsidR="002E18C0" w:rsidRDefault="00F94757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Перелік заходів щодо скорочення викидів, що виконані або/та які потребують виконання.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uk-UA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переліку заходів щодо скорочення викидів забруднюючих речовин при роботі підприємства передбачені: заходи щодо запобігання перевищенню встановлених нормативів граничнодопустимих викидів у процесі виробництва та заходи щодо охорони атмосферного повітря при НМУ.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Дотримання виконання природоохоронних заходів щодо скорочення викидів.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природоохоронні заходи щодо скорочення викидів забруднюючих речовин в атмосферне повітря не розроблялись.</w:t>
      </w:r>
    </w:p>
    <w:p w:rsidR="002E18C0" w:rsidRDefault="00F94757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Відповідність пропозицій щодо дозволених обсягів викидів законодавству.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допустимого вмісту хімічних і біологічних речовин в атмосферному повітрі населених місць 10.05.2024 №813, затверджені Наказом МОЗ України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 10.05.2024 № 813.</w:t>
      </w:r>
    </w:p>
    <w:p w:rsidR="002E18C0" w:rsidRDefault="00F94757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Дніпропетровська обласна державна адміністрація за адресою: м. Дніпро, пр. Олександра Поля, 1, тел.0-800-505-600, e-mail: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zverngrom@adm.dp.gov.ua</w:t>
        </w:r>
      </w:hyperlink>
      <w:r>
        <w:t>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Строки подання зауважень та пропозицій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30 календарних днів з моменту виходу повідомлення.</w:t>
      </w:r>
    </w:p>
    <w:p w:rsidR="002E18C0" w:rsidRDefault="002E18C0"/>
    <w:sectPr w:rsidR="002E18C0" w:rsidSect="002E18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DA" w:rsidRDefault="001C26DA">
      <w:pPr>
        <w:spacing w:line="240" w:lineRule="auto"/>
      </w:pPr>
      <w:r>
        <w:separator/>
      </w:r>
    </w:p>
  </w:endnote>
  <w:endnote w:type="continuationSeparator" w:id="1">
    <w:p w:rsidR="001C26DA" w:rsidRDefault="001C2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DA" w:rsidRDefault="001C26DA">
      <w:pPr>
        <w:spacing w:after="0"/>
      </w:pPr>
      <w:r>
        <w:separator/>
      </w:r>
    </w:p>
  </w:footnote>
  <w:footnote w:type="continuationSeparator" w:id="1">
    <w:p w:rsidR="001C26DA" w:rsidRDefault="001C26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FD9"/>
    <w:rsid w:val="00010EE6"/>
    <w:rsid w:val="00013355"/>
    <w:rsid w:val="0001368B"/>
    <w:rsid w:val="00014E3F"/>
    <w:rsid w:val="0004674C"/>
    <w:rsid w:val="000504EB"/>
    <w:rsid w:val="0006020A"/>
    <w:rsid w:val="00060469"/>
    <w:rsid w:val="000805C3"/>
    <w:rsid w:val="000B6568"/>
    <w:rsid w:val="000D48B4"/>
    <w:rsid w:val="000E40DD"/>
    <w:rsid w:val="000F2E8B"/>
    <w:rsid w:val="00115499"/>
    <w:rsid w:val="0012609B"/>
    <w:rsid w:val="00145B12"/>
    <w:rsid w:val="00146858"/>
    <w:rsid w:val="0016068B"/>
    <w:rsid w:val="00162AE0"/>
    <w:rsid w:val="001756A6"/>
    <w:rsid w:val="00184EDC"/>
    <w:rsid w:val="00187FD9"/>
    <w:rsid w:val="001957FC"/>
    <w:rsid w:val="001C26DA"/>
    <w:rsid w:val="001F4120"/>
    <w:rsid w:val="00255DAD"/>
    <w:rsid w:val="00284A0B"/>
    <w:rsid w:val="00293A73"/>
    <w:rsid w:val="002D0413"/>
    <w:rsid w:val="002E18C0"/>
    <w:rsid w:val="003241EB"/>
    <w:rsid w:val="00335B1D"/>
    <w:rsid w:val="00380C5A"/>
    <w:rsid w:val="003C565E"/>
    <w:rsid w:val="003D2AC9"/>
    <w:rsid w:val="00463532"/>
    <w:rsid w:val="0048124C"/>
    <w:rsid w:val="004B6905"/>
    <w:rsid w:val="004F1016"/>
    <w:rsid w:val="0050089A"/>
    <w:rsid w:val="005276E1"/>
    <w:rsid w:val="0054093B"/>
    <w:rsid w:val="00566863"/>
    <w:rsid w:val="00574951"/>
    <w:rsid w:val="005B7E17"/>
    <w:rsid w:val="005C6407"/>
    <w:rsid w:val="005C72B3"/>
    <w:rsid w:val="005F409B"/>
    <w:rsid w:val="006005CA"/>
    <w:rsid w:val="0061033B"/>
    <w:rsid w:val="00626FC6"/>
    <w:rsid w:val="0066005E"/>
    <w:rsid w:val="006F5393"/>
    <w:rsid w:val="0071799D"/>
    <w:rsid w:val="007469F6"/>
    <w:rsid w:val="00753743"/>
    <w:rsid w:val="00781183"/>
    <w:rsid w:val="007A1305"/>
    <w:rsid w:val="007B741C"/>
    <w:rsid w:val="00816F05"/>
    <w:rsid w:val="00846C06"/>
    <w:rsid w:val="00865D43"/>
    <w:rsid w:val="00870C23"/>
    <w:rsid w:val="008B49E5"/>
    <w:rsid w:val="008E2039"/>
    <w:rsid w:val="00962AC3"/>
    <w:rsid w:val="009E7D75"/>
    <w:rsid w:val="009F2F0C"/>
    <w:rsid w:val="00A0610B"/>
    <w:rsid w:val="00A07D53"/>
    <w:rsid w:val="00A1354A"/>
    <w:rsid w:val="00A447C4"/>
    <w:rsid w:val="00A62937"/>
    <w:rsid w:val="00A725CF"/>
    <w:rsid w:val="00A759BA"/>
    <w:rsid w:val="00A81B83"/>
    <w:rsid w:val="00AA1551"/>
    <w:rsid w:val="00AC74AD"/>
    <w:rsid w:val="00B10A34"/>
    <w:rsid w:val="00B160B9"/>
    <w:rsid w:val="00B767D2"/>
    <w:rsid w:val="00BD76E7"/>
    <w:rsid w:val="00BE6DD7"/>
    <w:rsid w:val="00C40B14"/>
    <w:rsid w:val="00C4105A"/>
    <w:rsid w:val="00C46C23"/>
    <w:rsid w:val="00C64D83"/>
    <w:rsid w:val="00C71131"/>
    <w:rsid w:val="00C9550D"/>
    <w:rsid w:val="00CC282E"/>
    <w:rsid w:val="00CC79F7"/>
    <w:rsid w:val="00CE3B25"/>
    <w:rsid w:val="00CF33F4"/>
    <w:rsid w:val="00D041C7"/>
    <w:rsid w:val="00D8524A"/>
    <w:rsid w:val="00DB5753"/>
    <w:rsid w:val="00DF5DA5"/>
    <w:rsid w:val="00E03000"/>
    <w:rsid w:val="00E45D83"/>
    <w:rsid w:val="00E94888"/>
    <w:rsid w:val="00E97501"/>
    <w:rsid w:val="00EA54CF"/>
    <w:rsid w:val="00EB6562"/>
    <w:rsid w:val="00F03EB7"/>
    <w:rsid w:val="00F4081E"/>
    <w:rsid w:val="00F46285"/>
    <w:rsid w:val="00F6358A"/>
    <w:rsid w:val="00F72A69"/>
    <w:rsid w:val="00F84670"/>
    <w:rsid w:val="00F9145A"/>
    <w:rsid w:val="00F94757"/>
    <w:rsid w:val="00FE13A9"/>
    <w:rsid w:val="00FF1B1E"/>
    <w:rsid w:val="07BC262A"/>
    <w:rsid w:val="324A0B2B"/>
    <w:rsid w:val="351C2CF0"/>
    <w:rsid w:val="4A18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2E18C0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2E18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2E18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2E18C0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2E18C0"/>
    <w:rPr>
      <w:b/>
      <w:bCs/>
    </w:rPr>
  </w:style>
  <w:style w:type="paragraph" w:styleId="ab">
    <w:name w:val="No Spacing"/>
    <w:uiPriority w:val="1"/>
    <w:qFormat/>
    <w:rsid w:val="002E18C0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Bodytet">
    <w:name w:val="Body teхt"/>
    <w:basedOn w:val="a"/>
    <w:link w:val="Bodytet0"/>
    <w:qFormat/>
    <w:rsid w:val="002E18C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character" w:customStyle="1" w:styleId="Bodytet0">
    <w:name w:val="Body teхt Знак"/>
    <w:basedOn w:val="a0"/>
    <w:link w:val="Bodytet"/>
    <w:autoRedefine/>
    <w:qFormat/>
    <w:rsid w:val="002E18C0"/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2E1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qFormat/>
    <w:locked/>
    <w:rsid w:val="002E18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2E18C0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E18C0"/>
    <w:rPr>
      <w:color w:val="605E5C"/>
      <w:shd w:val="clear" w:color="auto" w:fill="E1DFDD"/>
    </w:rPr>
  </w:style>
  <w:style w:type="character" w:customStyle="1" w:styleId="spanrvts0">
    <w:name w:val="span_rvts0"/>
    <w:basedOn w:val="a0"/>
    <w:qFormat/>
    <w:rsid w:val="002E18C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2E18C0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2E18C0"/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2E18C0"/>
    <w:rPr>
      <w:b/>
      <w:bCs/>
    </w:rPr>
  </w:style>
  <w:style w:type="paragraph" w:customStyle="1" w:styleId="10">
    <w:name w:val="Рецензия1"/>
    <w:hidden/>
    <w:uiPriority w:val="99"/>
    <w:semiHidden/>
    <w:qFormat/>
    <w:rsid w:val="002E18C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rngrom@adm.dp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.s.boiko@mhp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+38%20(099)%20731-76-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4393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oper74</dc:creator>
  <cp:lastModifiedBy>oper74</cp:lastModifiedBy>
  <cp:revision>6</cp:revision>
  <dcterms:created xsi:type="dcterms:W3CDTF">2024-12-19T11:08:00Z</dcterms:created>
  <dcterms:modified xsi:type="dcterms:W3CDTF">2025-02-07T06:27:00Z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66B500720606491F8C9AA91BD200E686_12</vt:lpwstr>
  </property>
</Properties>
</file>