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24D7" w14:textId="670D14C9" w:rsidR="00272ED9" w:rsidRDefault="00272ED9" w:rsidP="00272ED9">
      <w:pPr>
        <w:jc w:val="center"/>
        <w:rPr>
          <w:rFonts w:eastAsia="MS Mincho"/>
          <w:iCs/>
          <w:noProof/>
          <w:sz w:val="24"/>
          <w:szCs w:val="24"/>
          <w:u w:val="single"/>
          <w:lang w:eastAsia="en-US"/>
        </w:rPr>
      </w:pPr>
      <w:r w:rsidRPr="00C0741B">
        <w:rPr>
          <w:b/>
          <w:iCs/>
          <w:sz w:val="28"/>
          <w:szCs w:val="28"/>
        </w:rPr>
        <w:t>Повідомлення про намір отримати дозвіл на викиди</w:t>
      </w:r>
    </w:p>
    <w:p w14:paraId="3F114FC7" w14:textId="77777777" w:rsidR="00B21AA7" w:rsidRPr="00B21AA7"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Повне та скорочене найменування об’єкта:</w:t>
      </w:r>
      <w:r w:rsidRPr="00B21AA7">
        <w:rPr>
          <w:rFonts w:eastAsia="MS Mincho"/>
          <w:iCs/>
          <w:noProof/>
          <w:sz w:val="24"/>
          <w:szCs w:val="24"/>
          <w:lang w:eastAsia="en-US"/>
        </w:rPr>
        <w:t xml:space="preserve"> Товариство з обмеженою відповідальністю «ТРИГАЛ» (ТОВ «ТРИГАЛ»).</w:t>
      </w:r>
    </w:p>
    <w:p w14:paraId="162E62F5" w14:textId="77777777" w:rsidR="00B21AA7" w:rsidRPr="00B21AA7" w:rsidRDefault="00B21AA7" w:rsidP="00B21AA7">
      <w:pPr>
        <w:jc w:val="both"/>
        <w:rPr>
          <w:rFonts w:eastAsia="MS Mincho"/>
          <w:iCs/>
          <w:noProof/>
          <w:sz w:val="24"/>
          <w:szCs w:val="24"/>
          <w:u w:val="single"/>
          <w:lang w:eastAsia="en-US"/>
        </w:rPr>
      </w:pPr>
      <w:r w:rsidRPr="00B21AA7">
        <w:rPr>
          <w:rFonts w:eastAsia="MS Mincho"/>
          <w:iCs/>
          <w:noProof/>
          <w:sz w:val="24"/>
          <w:szCs w:val="24"/>
          <w:u w:val="single"/>
          <w:lang w:eastAsia="en-US"/>
        </w:rPr>
        <w:t>Код ЄДРПОУ:</w:t>
      </w:r>
      <w:r w:rsidRPr="00B21AA7">
        <w:rPr>
          <w:rFonts w:eastAsia="MS Mincho"/>
          <w:iCs/>
          <w:noProof/>
          <w:sz w:val="24"/>
          <w:szCs w:val="24"/>
          <w:lang w:eastAsia="en-US"/>
        </w:rPr>
        <w:t xml:space="preserve"> 13809016.</w:t>
      </w:r>
    </w:p>
    <w:p w14:paraId="0C97066E" w14:textId="77777777" w:rsidR="00B21AA7" w:rsidRPr="00B21AA7" w:rsidRDefault="00B21AA7" w:rsidP="00B21AA7">
      <w:pPr>
        <w:jc w:val="both"/>
        <w:rPr>
          <w:rFonts w:eastAsia="MS Mincho"/>
          <w:iCs/>
          <w:noProof/>
          <w:sz w:val="24"/>
          <w:szCs w:val="24"/>
          <w:u w:val="single"/>
          <w:lang w:eastAsia="en-US"/>
        </w:rPr>
      </w:pPr>
      <w:r w:rsidRPr="00B21AA7">
        <w:rPr>
          <w:rFonts w:eastAsia="MS Mincho"/>
          <w:iCs/>
          <w:noProof/>
          <w:sz w:val="24"/>
          <w:szCs w:val="24"/>
          <w:u w:val="single"/>
          <w:lang w:eastAsia="en-US"/>
        </w:rPr>
        <w:t>Місцезнаходження суб’єкта господарювання, контактний номер телефону, адресу електронної пошти суб’єкта господарювання:</w:t>
      </w:r>
      <w:r w:rsidRPr="00B21AA7">
        <w:rPr>
          <w:rFonts w:eastAsia="MS Mincho"/>
          <w:iCs/>
          <w:noProof/>
          <w:sz w:val="24"/>
          <w:szCs w:val="24"/>
          <w:lang w:eastAsia="en-US"/>
        </w:rPr>
        <w:t xml:space="preserve"> 79069, Львівська область, м. Львів, вул. Професора Івана Ковалика, 12б, тел. (098) 001-42-70, s.trygal@ukr.net.</w:t>
      </w:r>
    </w:p>
    <w:p w14:paraId="18DE70FF" w14:textId="2AFB4CC9" w:rsidR="00B21AA7" w:rsidRPr="00B21AA7"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 xml:space="preserve">Місцезнаходження об’єкта / промислового майданчика: </w:t>
      </w:r>
      <w:r w:rsidRPr="00B21AA7">
        <w:rPr>
          <w:rFonts w:eastAsia="MS Mincho"/>
          <w:iCs/>
          <w:noProof/>
          <w:sz w:val="24"/>
          <w:szCs w:val="24"/>
          <w:lang w:eastAsia="en-US"/>
        </w:rPr>
        <w:t>79069, Львівська область, м. Львів, вул. Професора Івана Ковалика, 12б.</w:t>
      </w:r>
    </w:p>
    <w:p w14:paraId="28A1A19B" w14:textId="77777777" w:rsidR="00B21AA7" w:rsidRPr="00B21AA7" w:rsidRDefault="00B21AA7" w:rsidP="00B21AA7">
      <w:pPr>
        <w:jc w:val="both"/>
        <w:rPr>
          <w:rFonts w:eastAsia="MS Mincho"/>
          <w:iCs/>
          <w:noProof/>
          <w:sz w:val="24"/>
          <w:szCs w:val="24"/>
          <w:u w:val="single"/>
          <w:lang w:eastAsia="en-US"/>
        </w:rPr>
      </w:pPr>
      <w:r w:rsidRPr="00B21AA7">
        <w:rPr>
          <w:rFonts w:eastAsia="MS Mincho"/>
          <w:iCs/>
          <w:noProof/>
          <w:sz w:val="24"/>
          <w:szCs w:val="24"/>
          <w:u w:val="single"/>
          <w:lang w:eastAsia="en-US"/>
        </w:rPr>
        <w:t xml:space="preserve">Мета отримання дозволу на викиди: </w:t>
      </w:r>
      <w:r w:rsidRPr="00B21AA7">
        <w:rPr>
          <w:rFonts w:eastAsia="MS Mincho"/>
          <w:iCs/>
          <w:noProof/>
          <w:sz w:val="24"/>
          <w:szCs w:val="24"/>
          <w:lang w:eastAsia="en-US"/>
        </w:rPr>
        <w:t>отримання дозволу для існуючого об’єкта, що має дозвіл на викиди, а саме у зв’язку зі змінами, що відбулися на підприємстві.</w:t>
      </w:r>
    </w:p>
    <w:p w14:paraId="5BC18F46" w14:textId="77777777" w:rsidR="00B21AA7" w:rsidRPr="00B21AA7"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Відомості про наявність висновку  з оцінки впливу на довкілля :</w:t>
      </w:r>
      <w:r w:rsidRPr="00B21AA7">
        <w:rPr>
          <w:rFonts w:eastAsia="MS Mincho"/>
          <w:iCs/>
          <w:noProof/>
          <w:sz w:val="24"/>
          <w:szCs w:val="24"/>
          <w:lang w:eastAsia="en-US"/>
        </w:rPr>
        <w:t xml:space="preserve"> відповідно до частин 2 і 3 Статті 3 Закону України «Про оцінку впливу на довкілля», виробнича діяльність ТОВ «ТРИГАЛ» не підлягає оцінці впливу на довкілля.</w:t>
      </w:r>
    </w:p>
    <w:p w14:paraId="2BA253B6" w14:textId="0AFFCC0E" w:rsidR="00B21AA7" w:rsidRPr="00B21AA7"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Загальний опис об’єкта</w:t>
      </w:r>
      <w:r w:rsidRPr="00B21AA7">
        <w:rPr>
          <w:rFonts w:eastAsia="MS Mincho"/>
          <w:iCs/>
          <w:noProof/>
          <w:sz w:val="24"/>
          <w:szCs w:val="24"/>
          <w:lang w:eastAsia="en-US"/>
        </w:rPr>
        <w:t>: Підприємство займається оптовою торгівлею будівельними матеріалами. На майданчику розвантажують, зберігають та транспортують будівельні матеріали. Цемент через два шнекових транспортери перевантажується одразу у вантажний автотранспорт, на території не зберігається.  Щебінь чотирьох фракцій (0-5мм., 5-20мм., 20-40мм., 40-70мм) – надходить залізницею, пісок, вапняк  надходить на майданчик підприємства вантажним автотранспортом. Також на підприємстві розташований зварювальний пост. Автозаправна колонка встановлена для заправки вантажного автотранспорту. Автозаправна колонка встановлена від ємності з дизельним паливом об`ємом 5 м3. У разі аварійних чи планових відключень електроенергії на підприємстві встановлені два дизельних генератори. Генератор марки TJ35BD, потужністю 28 кВт та марки VITOLUX, 7,5кВт. На території підприємства відбувається порізка металевих конструкцій, за допомогою відрізного верстату. Для опалення 13 приміщень на території підприємства встановлено 13 опалювальних пристроїв, потужністю 8 кВт.  Паливом для опалювальних пристроїв слугують відходи деревини.</w:t>
      </w:r>
    </w:p>
    <w:p w14:paraId="0D723A72" w14:textId="585DF35F" w:rsidR="00B21AA7" w:rsidRPr="00B21AA7"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Відомості щодо видів та обсягів викидів: сумарні потенційні обсяги викидів забруднюючих речовин:</w:t>
      </w:r>
      <w:r w:rsidRPr="00B21AA7">
        <w:rPr>
          <w:rFonts w:eastAsia="MS Mincho"/>
          <w:iCs/>
          <w:noProof/>
          <w:sz w:val="24"/>
          <w:szCs w:val="24"/>
          <w:lang w:eastAsia="en-US"/>
        </w:rPr>
        <w:t xml:space="preserve"> титану діоксид</w:t>
      </w:r>
      <w:r w:rsidRPr="00B21AA7">
        <w:rPr>
          <w:rFonts w:eastAsia="MS Mincho"/>
          <w:iCs/>
          <w:noProof/>
          <w:sz w:val="24"/>
          <w:szCs w:val="24"/>
          <w:lang w:eastAsia="en-US"/>
        </w:rPr>
        <w:t xml:space="preserve"> </w:t>
      </w:r>
      <w:r w:rsidRPr="00B21AA7">
        <w:rPr>
          <w:rFonts w:eastAsia="MS Mincho"/>
          <w:iCs/>
          <w:noProof/>
          <w:sz w:val="24"/>
          <w:szCs w:val="24"/>
          <w:lang w:eastAsia="en-US"/>
        </w:rPr>
        <w:t>- 0,000064 т/р, оксид вуглецю -0,056 т/р, вуглецю діоксид - 32,759 т/р, метан - 0,00143 т/р, залізо та його сполуки (в переpахунку на залізо) - 0,001 т/р, хром та його сполуки в перерахунку на хром - 0,00000060 т/р, манган та його сполуки (в переpахунку на діоксид мангану) - 0,00023 т/р, речовини у вигляді суспендованих твердих частинок недиференційованих за складом - 0,525 т/р, речовини у вигляді суспендованих твердих частинок менше 10 мкм - 0,00023 т/р, Оксиди азоту (у перерахунку на діоксид азоту [NO + NO2]) - 0,099 т/р,  азоту(1) оксид (N2O)</w:t>
      </w:r>
      <w:r w:rsidRPr="00B21AA7">
        <w:rPr>
          <w:rFonts w:eastAsia="MS Mincho"/>
          <w:iCs/>
          <w:noProof/>
          <w:sz w:val="24"/>
          <w:szCs w:val="24"/>
          <w:lang w:eastAsia="en-US"/>
        </w:rPr>
        <w:tab/>
        <w:t>- 0,001157 т/р, сірки діоксид -0,004 т/р, вуглеводні гpаничні С12-С19(розчинник РПК-265 П та інш.) - 0,0023 т/р.</w:t>
      </w:r>
    </w:p>
    <w:p w14:paraId="7238EC45" w14:textId="77777777" w:rsidR="00B21AA7" w:rsidRPr="00B21AA7"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Заходи щодо впровадження найкращих існуючих технологій виробництва:</w:t>
      </w:r>
      <w:r w:rsidRPr="00B21AA7">
        <w:rPr>
          <w:rFonts w:eastAsia="MS Mincho"/>
          <w:iCs/>
          <w:noProof/>
          <w:sz w:val="24"/>
          <w:szCs w:val="24"/>
          <w:lang w:eastAsia="en-US"/>
        </w:rPr>
        <w:t xml:space="preserve"> на підприємстві немає виробництв та технологічного устаткування, на яких повинні впроваджуватися найкращі доступні технології та методи керування.</w:t>
      </w:r>
    </w:p>
    <w:p w14:paraId="0CCD1080" w14:textId="77777777" w:rsidR="00B21AA7" w:rsidRPr="00B21AA7" w:rsidRDefault="00B21AA7" w:rsidP="00B21AA7">
      <w:pPr>
        <w:jc w:val="both"/>
        <w:rPr>
          <w:rFonts w:eastAsia="MS Mincho"/>
          <w:iCs/>
          <w:noProof/>
          <w:sz w:val="24"/>
          <w:szCs w:val="24"/>
          <w:u w:val="single"/>
          <w:lang w:eastAsia="en-US"/>
        </w:rPr>
      </w:pPr>
      <w:r w:rsidRPr="00B21AA7">
        <w:rPr>
          <w:rFonts w:eastAsia="MS Mincho"/>
          <w:iCs/>
          <w:noProof/>
          <w:sz w:val="24"/>
          <w:szCs w:val="24"/>
          <w:u w:val="single"/>
          <w:lang w:eastAsia="en-US"/>
        </w:rPr>
        <w:t>Перелік заходів щодо скорочення викидів:</w:t>
      </w:r>
      <w:r w:rsidRPr="00DB0AD9">
        <w:rPr>
          <w:rFonts w:eastAsia="MS Mincho"/>
          <w:iCs/>
          <w:noProof/>
          <w:sz w:val="24"/>
          <w:szCs w:val="24"/>
          <w:lang w:eastAsia="en-US"/>
        </w:rPr>
        <w:t xml:space="preserve"> фактичні викиди забруднюючих речовин від стаціонарних джерел не перевищують нормативи граничнодопустимих викидів відповідно до законодавства. Заходи щодо скорочення викидів не передбачаються.</w:t>
      </w:r>
    </w:p>
    <w:p w14:paraId="31FEB4AD" w14:textId="77777777" w:rsidR="00B21AA7" w:rsidRPr="00DB0AD9" w:rsidRDefault="00B21AA7" w:rsidP="00B21AA7">
      <w:pPr>
        <w:jc w:val="both"/>
        <w:rPr>
          <w:rFonts w:eastAsia="MS Mincho"/>
          <w:iCs/>
          <w:noProof/>
          <w:sz w:val="24"/>
          <w:szCs w:val="24"/>
          <w:lang w:eastAsia="en-US"/>
        </w:rPr>
      </w:pPr>
      <w:r w:rsidRPr="00B21AA7">
        <w:rPr>
          <w:rFonts w:eastAsia="MS Mincho"/>
          <w:iCs/>
          <w:noProof/>
          <w:sz w:val="24"/>
          <w:szCs w:val="24"/>
          <w:u w:val="single"/>
          <w:lang w:eastAsia="en-US"/>
        </w:rPr>
        <w:t xml:space="preserve">Дотримання виконання природоохоронних заходів щодо скорочення викидів: </w:t>
      </w:r>
      <w:r w:rsidRPr="00DB0AD9">
        <w:rPr>
          <w:rFonts w:eastAsia="MS Mincho"/>
          <w:iCs/>
          <w:noProof/>
          <w:sz w:val="24"/>
          <w:szCs w:val="24"/>
          <w:lang w:eastAsia="en-US"/>
        </w:rPr>
        <w:t>природоохоронні заходи щодо скорочення викидів забруднюючих речовин для даного підприємства не передбачаються.</w:t>
      </w:r>
    </w:p>
    <w:p w14:paraId="136610D7" w14:textId="77777777" w:rsidR="00B21AA7" w:rsidRPr="00B21AA7" w:rsidRDefault="00B21AA7" w:rsidP="00B21AA7">
      <w:pPr>
        <w:jc w:val="both"/>
        <w:rPr>
          <w:rFonts w:eastAsia="MS Mincho"/>
          <w:iCs/>
          <w:noProof/>
          <w:sz w:val="24"/>
          <w:szCs w:val="24"/>
          <w:u w:val="single"/>
          <w:lang w:eastAsia="en-US"/>
        </w:rPr>
      </w:pPr>
      <w:r w:rsidRPr="00B21AA7">
        <w:rPr>
          <w:rFonts w:eastAsia="MS Mincho"/>
          <w:iCs/>
          <w:noProof/>
          <w:sz w:val="24"/>
          <w:szCs w:val="24"/>
          <w:u w:val="single"/>
          <w:lang w:eastAsia="en-US"/>
        </w:rPr>
        <w:t>Відповідність пропозицій щодо дозволених обсягів викидів законодавству:</w:t>
      </w:r>
      <w:r w:rsidRPr="00DB0AD9">
        <w:rPr>
          <w:rFonts w:eastAsia="MS Mincho"/>
          <w:iCs/>
          <w:noProof/>
          <w:sz w:val="24"/>
          <w:szCs w:val="24"/>
          <w:lang w:eastAsia="en-US"/>
        </w:rPr>
        <w:t xml:space="preserve"> 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викидів забруднюючих речовин в атмосферне повітря стаціонарними джерелами.</w:t>
      </w:r>
    </w:p>
    <w:p w14:paraId="3F4298DE" w14:textId="75EA8FE6" w:rsidR="00571EFE" w:rsidRPr="00DB0AD9" w:rsidRDefault="00B21AA7" w:rsidP="00B21AA7">
      <w:pPr>
        <w:jc w:val="both"/>
      </w:pPr>
      <w:r w:rsidRPr="00B21AA7">
        <w:rPr>
          <w:rFonts w:eastAsia="MS Mincho"/>
          <w:iCs/>
          <w:noProof/>
          <w:sz w:val="24"/>
          <w:szCs w:val="24"/>
          <w:u w:val="single"/>
          <w:lang w:eastAsia="en-US"/>
        </w:rPr>
        <w:t>Зауваження громадських організацій та окремих громадян</w:t>
      </w:r>
      <w:r w:rsidR="00DB0AD9">
        <w:rPr>
          <w:rFonts w:eastAsia="MS Mincho"/>
          <w:iCs/>
          <w:noProof/>
          <w:sz w:val="24"/>
          <w:szCs w:val="24"/>
          <w:lang w:eastAsia="en-US"/>
        </w:rPr>
        <w:t>:</w:t>
      </w:r>
      <w:r w:rsidRPr="00DB0AD9">
        <w:rPr>
          <w:rFonts w:eastAsia="MS Mincho"/>
          <w:iCs/>
          <w:noProof/>
          <w:sz w:val="24"/>
          <w:szCs w:val="24"/>
          <w:lang w:eastAsia="en-US"/>
        </w:rPr>
        <w:t xml:space="preserve"> приймаються впродовж 30 календарних днів від дати публікації інформації Львівською обласною військовою </w:t>
      </w:r>
      <w:r w:rsidRPr="00DB0AD9">
        <w:rPr>
          <w:rFonts w:eastAsia="MS Mincho"/>
          <w:iCs/>
          <w:noProof/>
          <w:sz w:val="24"/>
          <w:szCs w:val="24"/>
          <w:lang w:eastAsia="en-US"/>
        </w:rPr>
        <w:lastRenderedPageBreak/>
        <w:t>адміністрацією – Департамент екології та природних ресурсів Львівської обласної військової адміністрації за адресою: 79026, Львівська обл., Львівський р-н, м. Львів, вул. Стрийська, 98, (032)238-73-83, envir@loda.gov.ua</w:t>
      </w:r>
    </w:p>
    <w:sectPr w:rsidR="00571EFE" w:rsidRPr="00DB0AD9" w:rsidSect="00264C9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00"/>
    <w:rsid w:val="00264C97"/>
    <w:rsid w:val="00272ED9"/>
    <w:rsid w:val="004933E6"/>
    <w:rsid w:val="00571EFE"/>
    <w:rsid w:val="00B21AA7"/>
    <w:rsid w:val="00BD30A1"/>
    <w:rsid w:val="00DB0AD9"/>
    <w:rsid w:val="00EE1000"/>
    <w:rsid w:val="00F96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2A1"/>
  <w15:chartTrackingRefBased/>
  <w15:docId w15:val="{71227C7F-D38E-402C-B987-1C50D35D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ED9"/>
    <w:pPr>
      <w:widowControl w:val="0"/>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1">
    <w:name w:val="heading 1"/>
    <w:basedOn w:val="a"/>
    <w:next w:val="a"/>
    <w:link w:val="10"/>
    <w:uiPriority w:val="9"/>
    <w:qFormat/>
    <w:rsid w:val="00EE1000"/>
    <w:pPr>
      <w:keepNext/>
      <w:keepLines/>
      <w:widowControl/>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E1000"/>
    <w:pPr>
      <w:keepNext/>
      <w:keepLines/>
      <w:widowControl/>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E1000"/>
    <w:pPr>
      <w:keepNext/>
      <w:keepLines/>
      <w:widowControl/>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E1000"/>
    <w:pPr>
      <w:keepNext/>
      <w:keepLines/>
      <w:widowControl/>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E1000"/>
    <w:pPr>
      <w:keepNext/>
      <w:keepLines/>
      <w:widowControl/>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E1000"/>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E1000"/>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E1000"/>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E1000"/>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0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10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10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10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10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10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1000"/>
    <w:rPr>
      <w:rFonts w:eastAsiaTheme="majorEastAsia" w:cstheme="majorBidi"/>
      <w:color w:val="595959" w:themeColor="text1" w:themeTint="A6"/>
    </w:rPr>
  </w:style>
  <w:style w:type="character" w:customStyle="1" w:styleId="80">
    <w:name w:val="Заголовок 8 Знак"/>
    <w:basedOn w:val="a0"/>
    <w:link w:val="8"/>
    <w:uiPriority w:val="9"/>
    <w:semiHidden/>
    <w:rsid w:val="00EE10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1000"/>
    <w:rPr>
      <w:rFonts w:eastAsiaTheme="majorEastAsia" w:cstheme="majorBidi"/>
      <w:color w:val="272727" w:themeColor="text1" w:themeTint="D8"/>
    </w:rPr>
  </w:style>
  <w:style w:type="paragraph" w:styleId="a3">
    <w:name w:val="Title"/>
    <w:basedOn w:val="a"/>
    <w:next w:val="a"/>
    <w:link w:val="a4"/>
    <w:uiPriority w:val="10"/>
    <w:qFormat/>
    <w:rsid w:val="00EE1000"/>
    <w:pPr>
      <w:widowControl/>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EE1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000"/>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EE100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E1000"/>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EE1000"/>
    <w:rPr>
      <w:i/>
      <w:iCs/>
      <w:color w:val="404040" w:themeColor="text1" w:themeTint="BF"/>
    </w:rPr>
  </w:style>
  <w:style w:type="paragraph" w:styleId="a9">
    <w:name w:val="List Paragraph"/>
    <w:basedOn w:val="a"/>
    <w:uiPriority w:val="34"/>
    <w:qFormat/>
    <w:rsid w:val="00EE1000"/>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EE1000"/>
    <w:rPr>
      <w:i/>
      <w:iCs/>
      <w:color w:val="2F5496" w:themeColor="accent1" w:themeShade="BF"/>
    </w:rPr>
  </w:style>
  <w:style w:type="paragraph" w:styleId="ab">
    <w:name w:val="Intense Quote"/>
    <w:basedOn w:val="a"/>
    <w:next w:val="a"/>
    <w:link w:val="ac"/>
    <w:uiPriority w:val="30"/>
    <w:qFormat/>
    <w:rsid w:val="00EE1000"/>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EE1000"/>
    <w:rPr>
      <w:i/>
      <w:iCs/>
      <w:color w:val="2F5496" w:themeColor="accent1" w:themeShade="BF"/>
    </w:rPr>
  </w:style>
  <w:style w:type="character" w:styleId="ad">
    <w:name w:val="Intense Reference"/>
    <w:basedOn w:val="a0"/>
    <w:uiPriority w:val="32"/>
    <w:qFormat/>
    <w:rsid w:val="00EE1000"/>
    <w:rPr>
      <w:b/>
      <w:bCs/>
      <w:smallCaps/>
      <w:color w:val="2F5496" w:themeColor="accent1" w:themeShade="BF"/>
      <w:spacing w:val="5"/>
    </w:rPr>
  </w:style>
  <w:style w:type="character" w:styleId="ae">
    <w:name w:val="Hyperlink"/>
    <w:uiPriority w:val="99"/>
    <w:unhideWhenUsed/>
    <w:rsid w:val="00272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2639</Words>
  <Characters>1505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 Передерій</dc:creator>
  <cp:keywords/>
  <dc:description/>
  <cp:lastModifiedBy>Назар Передерій</cp:lastModifiedBy>
  <cp:revision>3</cp:revision>
  <dcterms:created xsi:type="dcterms:W3CDTF">2025-02-21T08:16:00Z</dcterms:created>
  <dcterms:modified xsi:type="dcterms:W3CDTF">2025-02-24T10:21:00Z</dcterms:modified>
</cp:coreProperties>
</file>