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67D01" w14:textId="77777777" w:rsidR="00042147" w:rsidRPr="009829D4" w:rsidRDefault="00042147" w:rsidP="00042147">
      <w:pPr>
        <w:pStyle w:val="2"/>
        <w:numPr>
          <w:ilvl w:val="1"/>
          <w:numId w:val="2"/>
        </w:numPr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8266257"/>
      <w:r w:rsidRPr="009829D4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14:paraId="7D467616" w14:textId="77777777" w:rsidR="00042147" w:rsidRPr="009829D4" w:rsidRDefault="00042147" w:rsidP="00042147">
      <w:pPr>
        <w:pStyle w:val="Bodytet"/>
        <w:spacing w:line="276" w:lineRule="auto"/>
        <w:rPr>
          <w:sz w:val="26"/>
        </w:rPr>
      </w:pPr>
    </w:p>
    <w:p w14:paraId="132D2B52" w14:textId="77777777" w:rsidR="00042147" w:rsidRPr="009829D4" w:rsidRDefault="00042147" w:rsidP="00394637">
      <w:pPr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b/>
          <w:i/>
          <w:sz w:val="28"/>
          <w:lang w:val="uk-UA"/>
        </w:rPr>
        <w:t>Філія ГПУ «</w:t>
      </w:r>
      <w:proofErr w:type="spellStart"/>
      <w:r w:rsidRPr="009829D4">
        <w:rPr>
          <w:rFonts w:eastAsiaTheme="minorEastAsia"/>
          <w:b/>
          <w:i/>
          <w:sz w:val="28"/>
          <w:lang w:val="uk-UA"/>
        </w:rPr>
        <w:t>Полтавагазвидобування</w:t>
      </w:r>
      <w:proofErr w:type="spellEnd"/>
      <w:r w:rsidRPr="009829D4">
        <w:rPr>
          <w:rFonts w:eastAsiaTheme="minorEastAsia"/>
          <w:b/>
          <w:i/>
          <w:sz w:val="28"/>
          <w:lang w:val="uk-UA"/>
        </w:rPr>
        <w:t xml:space="preserve">» АТ «Укргазвидобування», </w:t>
      </w:r>
      <w:r w:rsidRPr="009829D4">
        <w:rPr>
          <w:rFonts w:eastAsiaTheme="minorEastAsia"/>
          <w:sz w:val="28"/>
          <w:lang w:val="uk-UA"/>
        </w:rPr>
        <w:t xml:space="preserve">один з об’єктів якої – </w:t>
      </w:r>
      <w:proofErr w:type="spellStart"/>
      <w:r w:rsidRPr="009829D4">
        <w:rPr>
          <w:rFonts w:eastAsiaTheme="minorEastAsia"/>
          <w:b/>
          <w:i/>
          <w:sz w:val="28"/>
          <w:lang w:val="uk-UA"/>
        </w:rPr>
        <w:t>Семенцівська</w:t>
      </w:r>
      <w:proofErr w:type="spellEnd"/>
      <w:r w:rsidRPr="009829D4">
        <w:rPr>
          <w:rFonts w:eastAsiaTheme="minorEastAsia"/>
          <w:b/>
          <w:i/>
          <w:sz w:val="28"/>
          <w:lang w:val="uk-UA"/>
        </w:rPr>
        <w:t xml:space="preserve"> УППГ </w:t>
      </w:r>
      <w:r w:rsidRPr="009829D4">
        <w:rPr>
          <w:rFonts w:eastAsiaTheme="minorEastAsia"/>
          <w:sz w:val="28"/>
          <w:lang w:val="uk-UA"/>
        </w:rPr>
        <w:t xml:space="preserve">знаходиться за </w:t>
      </w:r>
      <w:proofErr w:type="spellStart"/>
      <w:r w:rsidRPr="009829D4">
        <w:rPr>
          <w:rFonts w:eastAsiaTheme="minorEastAsia"/>
          <w:sz w:val="28"/>
          <w:lang w:val="uk-UA"/>
        </w:rPr>
        <w:t>адресою</w:t>
      </w:r>
      <w:proofErr w:type="spellEnd"/>
      <w:r w:rsidRPr="009829D4">
        <w:rPr>
          <w:rFonts w:eastAsiaTheme="minorEastAsia"/>
          <w:sz w:val="28"/>
          <w:lang w:val="uk-UA"/>
        </w:rPr>
        <w:t>: Полтавська обл., Полтавський р-н, Полтавська міська територіальна громада, с. Валок, повідомляє про наміри отримання дозволу на викиди забруднюючих речовин в атмосферне повітря.</w:t>
      </w:r>
    </w:p>
    <w:p w14:paraId="46E3B00C" w14:textId="77777777" w:rsidR="00042147" w:rsidRPr="009829D4" w:rsidRDefault="00042147" w:rsidP="00394637">
      <w:pPr>
        <w:spacing w:before="80"/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>Відомості щодо суб’єкта господарювання:</w:t>
      </w:r>
    </w:p>
    <w:p w14:paraId="27E58C3C" w14:textId="77777777" w:rsidR="00394637" w:rsidRPr="009829D4" w:rsidRDefault="00394637" w:rsidP="00394637">
      <w:pPr>
        <w:jc w:val="both"/>
        <w:rPr>
          <w:sz w:val="28"/>
          <w:szCs w:val="28"/>
          <w:lang w:val="uk-UA"/>
        </w:rPr>
      </w:pPr>
      <w:r w:rsidRPr="009829D4">
        <w:rPr>
          <w:snapToGrid w:val="0"/>
          <w:sz w:val="28"/>
          <w:szCs w:val="28"/>
          <w:lang w:val="uk-UA"/>
        </w:rPr>
        <w:t xml:space="preserve">- повне // коротке найменування </w:t>
      </w:r>
      <w:proofErr w:type="spellStart"/>
      <w:r w:rsidRPr="009829D4">
        <w:rPr>
          <w:snapToGrid w:val="0"/>
          <w:sz w:val="28"/>
          <w:szCs w:val="28"/>
          <w:lang w:val="uk-UA"/>
        </w:rPr>
        <w:t>юр</w:t>
      </w:r>
      <w:proofErr w:type="spellEnd"/>
      <w:r w:rsidRPr="009829D4">
        <w:rPr>
          <w:snapToGrid w:val="0"/>
          <w:sz w:val="28"/>
          <w:szCs w:val="28"/>
          <w:lang w:val="uk-UA"/>
        </w:rPr>
        <w:t>. особи:</w:t>
      </w:r>
      <w:r w:rsidRPr="009829D4">
        <w:rPr>
          <w:sz w:val="28"/>
          <w:szCs w:val="28"/>
          <w:lang w:val="uk-UA"/>
        </w:rPr>
        <w:t xml:space="preserve"> Акціонерне товариство «Укргазвидобування» // АТ «Укргазвидобування»;</w:t>
      </w:r>
    </w:p>
    <w:p w14:paraId="2C41A567" w14:textId="77777777" w:rsidR="00394637" w:rsidRPr="009829D4" w:rsidRDefault="00394637" w:rsidP="00394637">
      <w:pPr>
        <w:jc w:val="both"/>
        <w:rPr>
          <w:sz w:val="28"/>
          <w:szCs w:val="28"/>
          <w:lang w:val="uk-UA"/>
        </w:rPr>
      </w:pPr>
      <w:r w:rsidRPr="009829D4">
        <w:rPr>
          <w:snapToGrid w:val="0"/>
          <w:sz w:val="28"/>
          <w:szCs w:val="28"/>
          <w:lang w:val="uk-UA"/>
        </w:rPr>
        <w:t xml:space="preserve">- юридична та фактична адреса </w:t>
      </w:r>
      <w:proofErr w:type="spellStart"/>
      <w:r w:rsidRPr="009829D4">
        <w:rPr>
          <w:snapToGrid w:val="0"/>
          <w:sz w:val="28"/>
          <w:szCs w:val="28"/>
          <w:lang w:val="uk-UA"/>
        </w:rPr>
        <w:t>юр</w:t>
      </w:r>
      <w:proofErr w:type="spellEnd"/>
      <w:r w:rsidRPr="009829D4">
        <w:rPr>
          <w:snapToGrid w:val="0"/>
          <w:sz w:val="28"/>
          <w:szCs w:val="28"/>
          <w:lang w:val="uk-UA"/>
        </w:rPr>
        <w:t xml:space="preserve">. особи: </w:t>
      </w:r>
      <w:r w:rsidRPr="009829D4">
        <w:rPr>
          <w:sz w:val="28"/>
          <w:szCs w:val="28"/>
          <w:lang w:val="uk-UA"/>
        </w:rPr>
        <w:t xml:space="preserve">04053, м. Київ, вул. </w:t>
      </w:r>
      <w:proofErr w:type="spellStart"/>
      <w:r w:rsidRPr="009829D4">
        <w:rPr>
          <w:sz w:val="28"/>
          <w:szCs w:val="28"/>
          <w:lang w:val="uk-UA"/>
        </w:rPr>
        <w:t>Кудрявська</w:t>
      </w:r>
      <w:proofErr w:type="spellEnd"/>
      <w:r w:rsidRPr="009829D4">
        <w:rPr>
          <w:sz w:val="28"/>
          <w:szCs w:val="28"/>
          <w:lang w:val="uk-UA"/>
        </w:rPr>
        <w:t>, 26/28</w:t>
      </w:r>
    </w:p>
    <w:p w14:paraId="6D731E75" w14:textId="77777777" w:rsidR="00394637" w:rsidRPr="009829D4" w:rsidRDefault="00394637" w:rsidP="00394637">
      <w:pPr>
        <w:tabs>
          <w:tab w:val="left" w:pos="4782"/>
        </w:tabs>
        <w:ind w:left="108"/>
        <w:jc w:val="both"/>
        <w:rPr>
          <w:snapToGrid w:val="0"/>
          <w:sz w:val="28"/>
          <w:szCs w:val="28"/>
          <w:lang w:val="uk-UA"/>
        </w:rPr>
      </w:pPr>
      <w:r w:rsidRPr="009829D4">
        <w:rPr>
          <w:sz w:val="28"/>
          <w:szCs w:val="28"/>
          <w:lang w:val="uk-UA"/>
        </w:rPr>
        <w:t xml:space="preserve">- ідентифікаційний код  </w:t>
      </w:r>
      <w:proofErr w:type="spellStart"/>
      <w:r w:rsidRPr="009829D4">
        <w:rPr>
          <w:sz w:val="28"/>
          <w:szCs w:val="28"/>
          <w:lang w:val="uk-UA"/>
        </w:rPr>
        <w:t>юр</w:t>
      </w:r>
      <w:proofErr w:type="spellEnd"/>
      <w:r w:rsidRPr="009829D4">
        <w:rPr>
          <w:sz w:val="28"/>
          <w:szCs w:val="28"/>
          <w:lang w:val="uk-UA"/>
        </w:rPr>
        <w:t xml:space="preserve">. особи за ЄДРПОУ: </w:t>
      </w:r>
      <w:r w:rsidRPr="009829D4">
        <w:rPr>
          <w:sz w:val="28"/>
          <w:szCs w:val="28"/>
          <w:shd w:val="clear" w:color="auto" w:fill="FFFFFF"/>
          <w:lang w:val="uk-UA"/>
        </w:rPr>
        <w:t>30019775</w:t>
      </w:r>
    </w:p>
    <w:p w14:paraId="746457A0" w14:textId="77777777" w:rsidR="00394637" w:rsidRPr="009829D4" w:rsidRDefault="00394637" w:rsidP="00394637">
      <w:pPr>
        <w:jc w:val="both"/>
        <w:rPr>
          <w:sz w:val="28"/>
          <w:szCs w:val="28"/>
          <w:lang w:val="uk-UA"/>
        </w:rPr>
      </w:pPr>
      <w:r w:rsidRPr="009829D4">
        <w:rPr>
          <w:snapToGrid w:val="0"/>
          <w:sz w:val="28"/>
          <w:szCs w:val="28"/>
          <w:lang w:val="uk-UA"/>
        </w:rPr>
        <w:t xml:space="preserve">- повне // коротке найменування філії: </w:t>
      </w:r>
      <w:r w:rsidRPr="009829D4">
        <w:rPr>
          <w:sz w:val="28"/>
          <w:szCs w:val="28"/>
          <w:lang w:val="uk-UA"/>
        </w:rPr>
        <w:t>Філія Газопромислове управління «</w:t>
      </w:r>
      <w:proofErr w:type="spellStart"/>
      <w:r w:rsidRPr="009829D4">
        <w:rPr>
          <w:sz w:val="28"/>
          <w:szCs w:val="28"/>
          <w:lang w:val="uk-UA"/>
        </w:rPr>
        <w:t>Полтавагазвидобування</w:t>
      </w:r>
      <w:proofErr w:type="spellEnd"/>
      <w:r w:rsidRPr="009829D4">
        <w:rPr>
          <w:sz w:val="28"/>
          <w:szCs w:val="28"/>
          <w:lang w:val="uk-UA"/>
        </w:rPr>
        <w:t>» Акціонерного товариства «Укргазвидобування» //</w:t>
      </w:r>
    </w:p>
    <w:p w14:paraId="48828F55" w14:textId="77777777" w:rsidR="00394637" w:rsidRPr="009829D4" w:rsidRDefault="00394637" w:rsidP="00394637">
      <w:pPr>
        <w:pStyle w:val="a4"/>
        <w:jc w:val="both"/>
        <w:rPr>
          <w:sz w:val="28"/>
          <w:szCs w:val="28"/>
          <w:lang w:val="uk-UA"/>
        </w:rPr>
      </w:pPr>
      <w:r w:rsidRPr="009829D4">
        <w:rPr>
          <w:sz w:val="28"/>
          <w:szCs w:val="28"/>
          <w:lang w:val="uk-UA"/>
        </w:rPr>
        <w:t>Філія ГПУ «</w:t>
      </w:r>
      <w:proofErr w:type="spellStart"/>
      <w:r w:rsidRPr="009829D4">
        <w:rPr>
          <w:sz w:val="28"/>
          <w:szCs w:val="28"/>
          <w:lang w:val="uk-UA"/>
        </w:rPr>
        <w:t>Полтавагазвидобування</w:t>
      </w:r>
      <w:proofErr w:type="spellEnd"/>
      <w:r w:rsidRPr="009829D4">
        <w:rPr>
          <w:sz w:val="28"/>
          <w:szCs w:val="28"/>
          <w:lang w:val="uk-UA"/>
        </w:rPr>
        <w:t>» АТ «Укргазвидобування»</w:t>
      </w:r>
    </w:p>
    <w:p w14:paraId="53C1939C" w14:textId="77777777" w:rsidR="00394637" w:rsidRPr="009829D4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/>
        </w:rPr>
      </w:pPr>
      <w:r w:rsidRPr="009829D4">
        <w:rPr>
          <w:snapToGrid w:val="0"/>
          <w:sz w:val="28"/>
          <w:szCs w:val="28"/>
          <w:lang w:val="uk-UA"/>
        </w:rPr>
        <w:t xml:space="preserve">- поштова адреса філії: </w:t>
      </w:r>
      <w:r w:rsidRPr="009829D4">
        <w:rPr>
          <w:sz w:val="28"/>
          <w:szCs w:val="28"/>
          <w:lang w:val="uk-UA"/>
        </w:rPr>
        <w:t>36008, м. Полтава, вул. Європейська, 173</w:t>
      </w:r>
    </w:p>
    <w:p w14:paraId="44489872" w14:textId="77777777" w:rsidR="00394637" w:rsidRPr="009829D4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/>
        </w:rPr>
      </w:pPr>
      <w:r w:rsidRPr="009829D4">
        <w:rPr>
          <w:sz w:val="28"/>
          <w:szCs w:val="28"/>
          <w:lang w:val="uk-UA"/>
        </w:rPr>
        <w:t xml:space="preserve">- ідентифікаційний код філії за ЄДРПОУ: </w:t>
      </w:r>
      <w:r w:rsidRPr="009829D4">
        <w:rPr>
          <w:sz w:val="28"/>
          <w:szCs w:val="28"/>
          <w:shd w:val="clear" w:color="auto" w:fill="FFFFFF"/>
          <w:lang w:val="uk-UA"/>
        </w:rPr>
        <w:t>00153100</w:t>
      </w:r>
    </w:p>
    <w:p w14:paraId="300D1FE9" w14:textId="77777777" w:rsidR="00394637" w:rsidRPr="009829D4" w:rsidRDefault="00394637" w:rsidP="00394637">
      <w:pPr>
        <w:jc w:val="both"/>
        <w:rPr>
          <w:sz w:val="28"/>
          <w:szCs w:val="28"/>
          <w:lang w:val="uk-UA"/>
        </w:rPr>
      </w:pPr>
      <w:r w:rsidRPr="009829D4">
        <w:rPr>
          <w:sz w:val="28"/>
          <w:szCs w:val="28"/>
          <w:lang w:val="uk-UA"/>
        </w:rPr>
        <w:t xml:space="preserve">  - телефон: </w:t>
      </w:r>
      <w:r w:rsidRPr="009829D4">
        <w:rPr>
          <w:sz w:val="28"/>
          <w:szCs w:val="28"/>
          <w:lang w:val="uk-UA" w:eastAsia="uk-UA"/>
        </w:rPr>
        <w:t>+38 (097) 719 61 26</w:t>
      </w:r>
    </w:p>
    <w:p w14:paraId="028E06F7" w14:textId="77777777" w:rsidR="00394637" w:rsidRPr="009829D4" w:rsidRDefault="00394637" w:rsidP="00394637">
      <w:pPr>
        <w:tabs>
          <w:tab w:val="left" w:pos="4782"/>
        </w:tabs>
        <w:ind w:left="108"/>
        <w:jc w:val="both"/>
        <w:rPr>
          <w:sz w:val="28"/>
          <w:szCs w:val="28"/>
          <w:lang w:val="uk-UA" w:eastAsia="en-US"/>
        </w:rPr>
      </w:pPr>
      <w:r w:rsidRPr="009829D4">
        <w:rPr>
          <w:sz w:val="28"/>
          <w:szCs w:val="28"/>
          <w:lang w:val="uk-UA"/>
        </w:rPr>
        <w:t>- електронна адреса:</w:t>
      </w:r>
      <w:r w:rsidRPr="009829D4">
        <w:rPr>
          <w:sz w:val="28"/>
          <w:szCs w:val="28"/>
          <w:lang w:val="uk-UA" w:eastAsia="uk-UA"/>
        </w:rPr>
        <w:t xml:space="preserve"> denys.matokhin@ugv.com.ua</w:t>
      </w:r>
    </w:p>
    <w:p w14:paraId="1DADD2A0" w14:textId="77777777" w:rsidR="00042147" w:rsidRPr="009829D4" w:rsidRDefault="00394637" w:rsidP="00394637">
      <w:pPr>
        <w:jc w:val="both"/>
        <w:rPr>
          <w:sz w:val="28"/>
          <w:szCs w:val="28"/>
          <w:shd w:val="clear" w:color="auto" w:fill="FFFFFF"/>
          <w:lang w:val="uk-UA"/>
        </w:rPr>
      </w:pPr>
      <w:r w:rsidRPr="009829D4">
        <w:rPr>
          <w:sz w:val="28"/>
          <w:szCs w:val="28"/>
          <w:lang w:val="uk-UA"/>
        </w:rPr>
        <w:tab/>
      </w:r>
      <w:r w:rsidR="00042147" w:rsidRPr="009829D4">
        <w:rPr>
          <w:sz w:val="28"/>
          <w:szCs w:val="28"/>
          <w:lang w:val="uk-UA"/>
        </w:rPr>
        <w:t xml:space="preserve">Дозвіл на викиди забруднюючих речовин в атмосферне повітря для існуючого об’єкта оформлюється у зв’язку </w:t>
      </w:r>
      <w:r w:rsidR="0011703D" w:rsidRPr="009829D4">
        <w:rPr>
          <w:sz w:val="28"/>
          <w:szCs w:val="28"/>
          <w:lang w:val="uk-UA"/>
        </w:rPr>
        <w:t>з закінченням терміну дії існуючого Дозволу</w:t>
      </w:r>
      <w:r w:rsidR="00042147" w:rsidRPr="009829D4">
        <w:rPr>
          <w:sz w:val="28"/>
          <w:szCs w:val="28"/>
          <w:lang w:val="uk-UA"/>
        </w:rPr>
        <w:t>, з метою отримання права на експлуатацію технологічного обладнання, для забезпечення виконання вимог, передбачених нормативами екологічної безпеки у галузі охорони атмосферного повітря.</w:t>
      </w:r>
    </w:p>
    <w:p w14:paraId="30761401" w14:textId="77777777" w:rsidR="00042147" w:rsidRPr="009829D4" w:rsidRDefault="0011703D" w:rsidP="00394637">
      <w:pPr>
        <w:tabs>
          <w:tab w:val="left" w:pos="709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829D4">
        <w:rPr>
          <w:sz w:val="28"/>
          <w:szCs w:val="28"/>
          <w:lang w:val="uk-UA"/>
        </w:rPr>
        <w:t>У</w:t>
      </w:r>
      <w:r w:rsidR="00042147" w:rsidRPr="009829D4">
        <w:rPr>
          <w:sz w:val="28"/>
          <w:szCs w:val="28"/>
          <w:lang w:val="uk-UA"/>
        </w:rPr>
        <w:t xml:space="preserve"> зв’язку з тим що даний об’єкт було введено в експлуатацію до прийняття Закону України «Про оцінку впливу на довкілля» та на майданчику не відбувалися зміни, які справляють значний вплив на довкілля </w:t>
      </w:r>
      <w:r w:rsidRPr="009829D4">
        <w:rPr>
          <w:sz w:val="28"/>
          <w:szCs w:val="28"/>
          <w:lang w:val="uk-UA"/>
        </w:rPr>
        <w:t xml:space="preserve">процедура </w:t>
      </w:r>
      <w:r w:rsidR="00042147" w:rsidRPr="009829D4">
        <w:rPr>
          <w:sz w:val="28"/>
          <w:szCs w:val="28"/>
          <w:lang w:val="uk-UA"/>
        </w:rPr>
        <w:t>Оцінк</w:t>
      </w:r>
      <w:r w:rsidRPr="009829D4">
        <w:rPr>
          <w:sz w:val="28"/>
          <w:szCs w:val="28"/>
          <w:lang w:val="uk-UA"/>
        </w:rPr>
        <w:t>и</w:t>
      </w:r>
      <w:r w:rsidR="00042147" w:rsidRPr="009829D4">
        <w:rPr>
          <w:sz w:val="28"/>
          <w:szCs w:val="28"/>
          <w:lang w:val="uk-UA"/>
        </w:rPr>
        <w:t xml:space="preserve"> впливу на довкілля на об’єкті не проводилась.</w:t>
      </w:r>
    </w:p>
    <w:p w14:paraId="3CEA269B" w14:textId="77777777" w:rsidR="00042147" w:rsidRPr="009829D4" w:rsidRDefault="00042147" w:rsidP="00394637">
      <w:pPr>
        <w:spacing w:before="80"/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>Філія ГПУ «</w:t>
      </w:r>
      <w:proofErr w:type="spellStart"/>
      <w:r w:rsidRPr="009829D4">
        <w:rPr>
          <w:rFonts w:eastAsiaTheme="minorEastAsia"/>
          <w:sz w:val="28"/>
          <w:lang w:val="uk-UA"/>
        </w:rPr>
        <w:t>Полтавагазвидобування</w:t>
      </w:r>
      <w:proofErr w:type="spellEnd"/>
      <w:r w:rsidRPr="009829D4">
        <w:rPr>
          <w:rFonts w:eastAsiaTheme="minorEastAsia"/>
          <w:sz w:val="28"/>
          <w:lang w:val="uk-UA"/>
        </w:rPr>
        <w:t xml:space="preserve">» АТ «Укргазвидобування» проводить роботи з видобутку природного газу, газового конденсату та нафти. </w:t>
      </w:r>
      <w:proofErr w:type="spellStart"/>
      <w:r w:rsidRPr="009829D4">
        <w:rPr>
          <w:rFonts w:eastAsiaTheme="minorEastAsia"/>
          <w:sz w:val="28"/>
          <w:lang w:val="uk-UA"/>
        </w:rPr>
        <w:t>Семенцівська</w:t>
      </w:r>
      <w:proofErr w:type="spellEnd"/>
      <w:r w:rsidRPr="009829D4">
        <w:rPr>
          <w:rFonts w:eastAsiaTheme="minorEastAsia"/>
          <w:sz w:val="28"/>
          <w:lang w:val="uk-UA"/>
        </w:rPr>
        <w:t xml:space="preserve"> УППГ призначена для вилучення з </w:t>
      </w:r>
      <w:r w:rsidR="0011703D" w:rsidRPr="009829D4">
        <w:rPr>
          <w:rFonts w:eastAsiaTheme="minorEastAsia"/>
          <w:sz w:val="28"/>
          <w:lang w:val="uk-UA"/>
        </w:rPr>
        <w:t>видобутого</w:t>
      </w:r>
      <w:r w:rsidRPr="009829D4">
        <w:rPr>
          <w:rFonts w:eastAsiaTheme="minorEastAsia"/>
          <w:sz w:val="28"/>
          <w:lang w:val="uk-UA"/>
        </w:rPr>
        <w:t xml:space="preserve"> пластового газу </w:t>
      </w:r>
      <w:proofErr w:type="spellStart"/>
      <w:r w:rsidRPr="009829D4">
        <w:rPr>
          <w:rFonts w:eastAsiaTheme="minorEastAsia"/>
          <w:sz w:val="28"/>
          <w:lang w:val="uk-UA"/>
        </w:rPr>
        <w:t>Семенцівського</w:t>
      </w:r>
      <w:proofErr w:type="spellEnd"/>
      <w:r w:rsidRPr="009829D4">
        <w:rPr>
          <w:rFonts w:eastAsiaTheme="minorEastAsia"/>
          <w:sz w:val="28"/>
          <w:lang w:val="uk-UA"/>
        </w:rPr>
        <w:t xml:space="preserve"> та </w:t>
      </w:r>
      <w:proofErr w:type="spellStart"/>
      <w:r w:rsidR="0011703D" w:rsidRPr="009829D4">
        <w:rPr>
          <w:rFonts w:eastAsiaTheme="minorEastAsia"/>
          <w:sz w:val="28"/>
          <w:lang w:val="uk-UA"/>
        </w:rPr>
        <w:t>Роднікового</w:t>
      </w:r>
      <w:proofErr w:type="spellEnd"/>
      <w:r w:rsidR="0011703D" w:rsidRPr="009829D4">
        <w:rPr>
          <w:rFonts w:eastAsiaTheme="minorEastAsia"/>
          <w:sz w:val="28"/>
          <w:lang w:val="uk-UA"/>
        </w:rPr>
        <w:t xml:space="preserve"> газоконденсатних родовищ конденсату, пластової води та забезпечення транспортування газу до магістрального газопроводу</w:t>
      </w:r>
      <w:r w:rsidRPr="009829D4">
        <w:rPr>
          <w:rFonts w:eastAsiaTheme="minorEastAsia"/>
          <w:sz w:val="28"/>
          <w:lang w:val="uk-UA"/>
        </w:rPr>
        <w:t>.</w:t>
      </w:r>
    </w:p>
    <w:p w14:paraId="7DD7E3A5" w14:textId="77777777" w:rsidR="00042147" w:rsidRPr="009829D4" w:rsidRDefault="00042147" w:rsidP="00394637">
      <w:pPr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 xml:space="preserve">На території </w:t>
      </w:r>
      <w:proofErr w:type="spellStart"/>
      <w:r w:rsidRPr="009829D4">
        <w:rPr>
          <w:rFonts w:eastAsiaTheme="minorEastAsia"/>
          <w:sz w:val="28"/>
          <w:lang w:val="uk-UA"/>
        </w:rPr>
        <w:t>проммайданчика</w:t>
      </w:r>
      <w:proofErr w:type="spellEnd"/>
      <w:r w:rsidRPr="009829D4">
        <w:rPr>
          <w:rFonts w:eastAsiaTheme="minorEastAsia"/>
          <w:sz w:val="28"/>
          <w:lang w:val="uk-UA"/>
        </w:rPr>
        <w:t xml:space="preserve"> розташовані наступні джерела утворення забруднюючих речовин: котли газові АОГВ-30 РОСС, АОГВ-20 РОСС, ДАНКО-24 та ТЕРМО-25; дизельні генератори ELBE STROM FI-130 KS, та KJ POWER 5KJA110ATS; ємність зберігання дизпалива; технологічні ємності Є-2 – Є-7 для конденсату, метанолу та СПВ; насоси; вогневий підігрівач ВП-12,5; компресорна установка ARIEL з двигуном CAT та факельне господарство УППГ.</w:t>
      </w:r>
    </w:p>
    <w:p w14:paraId="5E451AE3" w14:textId="77777777" w:rsidR="00042147" w:rsidRPr="009829D4" w:rsidRDefault="00042147" w:rsidP="00394637">
      <w:pPr>
        <w:ind w:firstLine="709"/>
        <w:jc w:val="both"/>
        <w:rPr>
          <w:sz w:val="28"/>
          <w:szCs w:val="28"/>
          <w:lang w:val="uk-UA"/>
        </w:rPr>
      </w:pPr>
      <w:r w:rsidRPr="009829D4">
        <w:rPr>
          <w:sz w:val="28"/>
          <w:szCs w:val="28"/>
          <w:lang w:val="uk-UA"/>
        </w:rPr>
        <w:t xml:space="preserve">Перелік забруднюючих речовин та їх кількість: речовини у вигляді суспендованих твердих частинок недиференційованих за складом – 0,297 т/рік </w:t>
      </w:r>
      <w:r w:rsidRPr="009829D4">
        <w:rPr>
          <w:sz w:val="28"/>
          <w:szCs w:val="28"/>
          <w:lang w:val="uk-UA"/>
        </w:rPr>
        <w:lastRenderedPageBreak/>
        <w:t>оксиди азоту (у перерахунку на діоксид азоту [NO+NO</w:t>
      </w:r>
      <w:r w:rsidRPr="009829D4">
        <w:rPr>
          <w:sz w:val="28"/>
          <w:szCs w:val="28"/>
          <w:vertAlign w:val="subscript"/>
          <w:lang w:val="uk-UA"/>
        </w:rPr>
        <w:t>2</w:t>
      </w:r>
      <w:r w:rsidRPr="009829D4">
        <w:rPr>
          <w:sz w:val="28"/>
          <w:szCs w:val="28"/>
          <w:lang w:val="uk-UA"/>
        </w:rPr>
        <w:t>]) – 0,623 т/рік; сірки діоксид – 0,001 т/рік; оксид вуглецю – 3,080 т/рік; неметанові леткі органічні сполуки (НМЛОС) – 0,002 т/рік; вуглеводні насичені  С</w:t>
      </w:r>
      <w:r w:rsidRPr="009829D4">
        <w:rPr>
          <w:sz w:val="28"/>
          <w:szCs w:val="28"/>
          <w:vertAlign w:val="subscript"/>
          <w:lang w:val="uk-UA"/>
        </w:rPr>
        <w:t>12</w:t>
      </w:r>
      <w:r w:rsidRPr="009829D4">
        <w:rPr>
          <w:sz w:val="28"/>
          <w:szCs w:val="28"/>
          <w:lang w:val="uk-UA"/>
        </w:rPr>
        <w:t>-С</w:t>
      </w:r>
      <w:r w:rsidRPr="009829D4">
        <w:rPr>
          <w:sz w:val="28"/>
          <w:szCs w:val="28"/>
          <w:vertAlign w:val="subscript"/>
          <w:lang w:val="uk-UA"/>
        </w:rPr>
        <w:t>19</w:t>
      </w:r>
      <w:r w:rsidRPr="009829D4">
        <w:rPr>
          <w:sz w:val="28"/>
          <w:szCs w:val="28"/>
          <w:lang w:val="uk-UA"/>
        </w:rPr>
        <w:t xml:space="preserve">  (розчинник РПК-26511 та </w:t>
      </w:r>
      <w:proofErr w:type="spellStart"/>
      <w:r w:rsidRPr="009829D4">
        <w:rPr>
          <w:sz w:val="28"/>
          <w:szCs w:val="28"/>
          <w:lang w:val="uk-UA"/>
        </w:rPr>
        <w:t>ін</w:t>
      </w:r>
      <w:proofErr w:type="spellEnd"/>
      <w:r w:rsidRPr="009829D4">
        <w:rPr>
          <w:sz w:val="28"/>
          <w:szCs w:val="28"/>
          <w:lang w:val="uk-UA"/>
        </w:rPr>
        <w:t xml:space="preserve">) у перерахунку на сумарний органічний вуглець) – </w:t>
      </w:r>
      <w:r w:rsidR="0011703D" w:rsidRPr="009829D4">
        <w:rPr>
          <w:sz w:val="28"/>
          <w:szCs w:val="28"/>
          <w:lang w:val="uk-UA"/>
        </w:rPr>
        <w:t>0,000001</w:t>
      </w:r>
      <w:r w:rsidRPr="009829D4">
        <w:rPr>
          <w:sz w:val="28"/>
          <w:szCs w:val="28"/>
          <w:lang w:val="uk-UA"/>
        </w:rPr>
        <w:t xml:space="preserve"> т/рік; пропан – 0,0001 т/рік; етан –  0,00004 т/рік; </w:t>
      </w:r>
      <w:proofErr w:type="spellStart"/>
      <w:r w:rsidRPr="009829D4">
        <w:rPr>
          <w:sz w:val="28"/>
          <w:szCs w:val="28"/>
          <w:lang w:val="uk-UA"/>
        </w:rPr>
        <w:t>ізо</w:t>
      </w:r>
      <w:proofErr w:type="spellEnd"/>
      <w:r w:rsidRPr="009829D4">
        <w:rPr>
          <w:sz w:val="28"/>
          <w:szCs w:val="28"/>
          <w:lang w:val="uk-UA"/>
        </w:rPr>
        <w:t>-бутан – 0,0002 т/рік; бутан – 0,0002 т/рік; пентан – 0,044 т/рік; метан – 0,185 т/рік; спирт метиловий – 0,552 т/рік та парникові гази азоту (1) оксид (N</w:t>
      </w:r>
      <w:r w:rsidRPr="009829D4">
        <w:rPr>
          <w:sz w:val="28"/>
          <w:szCs w:val="28"/>
          <w:vertAlign w:val="subscript"/>
          <w:lang w:val="uk-UA"/>
        </w:rPr>
        <w:t>2</w:t>
      </w:r>
      <w:r w:rsidRPr="009829D4">
        <w:rPr>
          <w:sz w:val="28"/>
          <w:szCs w:val="28"/>
          <w:lang w:val="uk-UA"/>
        </w:rPr>
        <w:t xml:space="preserve">O) – 0,025 т/рік; вуглецю діоксид  – </w:t>
      </w:r>
      <w:r w:rsidR="0011703D" w:rsidRPr="009829D4">
        <w:rPr>
          <w:sz w:val="28"/>
          <w:szCs w:val="28"/>
          <w:lang w:val="uk-UA"/>
        </w:rPr>
        <w:t xml:space="preserve">                        </w:t>
      </w:r>
      <w:r w:rsidRPr="009829D4">
        <w:rPr>
          <w:sz w:val="28"/>
          <w:szCs w:val="28"/>
          <w:lang w:val="uk-UA"/>
        </w:rPr>
        <w:t xml:space="preserve">344,079 т/рік. </w:t>
      </w:r>
    </w:p>
    <w:p w14:paraId="1C2570AD" w14:textId="77777777" w:rsidR="00042147" w:rsidRPr="009829D4" w:rsidRDefault="00042147" w:rsidP="00394637">
      <w:pPr>
        <w:spacing w:before="80"/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>Об’єкт відноситься до другої групи та підлягає взяттю на Державний облік.</w:t>
      </w:r>
    </w:p>
    <w:p w14:paraId="63605A23" w14:textId="77777777" w:rsidR="00042147" w:rsidRPr="009829D4" w:rsidRDefault="00042147" w:rsidP="00394637">
      <w:pPr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 xml:space="preserve">На підприємстві немає виробництв або технологічного устаткування, на яких повинні впроваджуватися найкращі доступні технології та методи керування, а також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</w:t>
      </w:r>
    </w:p>
    <w:p w14:paraId="026EE0E3" w14:textId="77777777" w:rsidR="00042147" w:rsidRPr="009829D4" w:rsidRDefault="00042147" w:rsidP="00394637">
      <w:pPr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 xml:space="preserve">Відповідно до матеріалів, що обґрунтовують обсяги викидів забруднюючих речовин, встановлені нормативи гранично-допустимих викидів дотримуються, заходи щодо скорочення обсягів викидів не плануються. </w:t>
      </w:r>
    </w:p>
    <w:p w14:paraId="72B614B7" w14:textId="77777777" w:rsidR="00042147" w:rsidRPr="009829D4" w:rsidRDefault="00042147" w:rsidP="00394637">
      <w:pPr>
        <w:ind w:firstLine="709"/>
        <w:jc w:val="both"/>
        <w:rPr>
          <w:rFonts w:eastAsiaTheme="minorEastAsia"/>
          <w:sz w:val="28"/>
          <w:lang w:val="uk-UA"/>
        </w:rPr>
      </w:pPr>
      <w:r w:rsidRPr="009829D4">
        <w:rPr>
          <w:rFonts w:eastAsiaTheme="minorEastAsia"/>
          <w:sz w:val="28"/>
          <w:lang w:val="uk-UA"/>
        </w:rPr>
        <w:t xml:space="preserve">За результатами розрахунків розсіювання забруднюючих речовин в атмосферному повітрі встановлено, що перевищення ГДК на межі СЗЗ відсутні.  </w:t>
      </w:r>
    </w:p>
    <w:p w14:paraId="4E45AFC9" w14:textId="77777777" w:rsidR="002F44E5" w:rsidRPr="009829D4" w:rsidRDefault="00042147" w:rsidP="00394637">
      <w:pPr>
        <w:ind w:firstLine="709"/>
        <w:jc w:val="both"/>
      </w:pPr>
      <w:r w:rsidRPr="009829D4">
        <w:rPr>
          <w:rFonts w:eastAsiaTheme="minorEastAsia"/>
          <w:sz w:val="28"/>
          <w:lang w:val="uk-UA"/>
        </w:rPr>
        <w:t xml:space="preserve">Зауваження та пропозиції щодо намірів подавати в місячний термін після публікації до Полтавської обласної державної адміністрації за </w:t>
      </w:r>
      <w:proofErr w:type="spellStart"/>
      <w:r w:rsidRPr="009829D4">
        <w:rPr>
          <w:rFonts w:eastAsiaTheme="minorEastAsia"/>
          <w:sz w:val="28"/>
          <w:lang w:val="uk-UA"/>
        </w:rPr>
        <w:t>адресою</w:t>
      </w:r>
      <w:proofErr w:type="spellEnd"/>
      <w:r w:rsidRPr="009829D4">
        <w:rPr>
          <w:rFonts w:eastAsiaTheme="minorEastAsia"/>
          <w:sz w:val="28"/>
          <w:lang w:val="uk-UA"/>
        </w:rPr>
        <w:t xml:space="preserve">: 36014,                 м. Полтава, вул. Соборності, 45, </w:t>
      </w:r>
      <w:proofErr w:type="spellStart"/>
      <w:r w:rsidRPr="009829D4">
        <w:rPr>
          <w:rFonts w:eastAsiaTheme="minorEastAsia"/>
          <w:sz w:val="28"/>
          <w:lang w:val="uk-UA"/>
        </w:rPr>
        <w:t>тел</w:t>
      </w:r>
      <w:proofErr w:type="spellEnd"/>
      <w:r w:rsidRPr="009829D4">
        <w:rPr>
          <w:rFonts w:eastAsiaTheme="minorEastAsia"/>
          <w:sz w:val="28"/>
          <w:lang w:val="uk-UA"/>
        </w:rPr>
        <w:t>. +38(0532) 56 02 90.</w:t>
      </w:r>
    </w:p>
    <w:sectPr w:rsidR="002F44E5" w:rsidRPr="009829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47357286">
    <w:abstractNumId w:val="1"/>
  </w:num>
  <w:num w:numId="2" w16cid:durableId="204101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47"/>
    <w:rsid w:val="00042147"/>
    <w:rsid w:val="0011703D"/>
    <w:rsid w:val="002825D0"/>
    <w:rsid w:val="002C3D0B"/>
    <w:rsid w:val="002F44E5"/>
    <w:rsid w:val="00394637"/>
    <w:rsid w:val="009829D4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A105"/>
  <w15:chartTrackingRefBased/>
  <w15:docId w15:val="{679776B8-CCFC-4415-9178-72FAFCC21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042147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042147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042147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042147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042147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42147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042147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042147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042147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2147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04214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04214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042147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042147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042147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04214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042147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042147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042147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customStyle="1" w:styleId="Bodytet">
    <w:name w:val="Body teхt"/>
    <w:basedOn w:val="a"/>
    <w:link w:val="Bodytet0"/>
    <w:qFormat/>
    <w:rsid w:val="00042147"/>
    <w:pPr>
      <w:widowControl w:val="0"/>
      <w:suppressAutoHyphens/>
      <w:ind w:firstLine="709"/>
      <w:contextualSpacing/>
      <w:jc w:val="both"/>
    </w:pPr>
    <w:rPr>
      <w:sz w:val="24"/>
      <w:szCs w:val="26"/>
      <w:lang w:val="uk-UA"/>
    </w:rPr>
  </w:style>
  <w:style w:type="character" w:customStyle="1" w:styleId="Bodytet0">
    <w:name w:val="Body teхt Знак"/>
    <w:basedOn w:val="a1"/>
    <w:link w:val="Bodytet"/>
    <w:rsid w:val="00042147"/>
    <w:rPr>
      <w:rFonts w:ascii="Times New Roman" w:eastAsia="Times New Roman" w:hAnsi="Times New Roman" w:cs="Times New Roman"/>
      <w:sz w:val="24"/>
      <w:szCs w:val="26"/>
      <w:lang w:val="uk-UA" w:eastAsia="ru-RU"/>
    </w:rPr>
  </w:style>
  <w:style w:type="paragraph" w:styleId="a4">
    <w:name w:val="annotation text"/>
    <w:basedOn w:val="a"/>
    <w:link w:val="a5"/>
    <w:semiHidden/>
    <w:unhideWhenUsed/>
    <w:rsid w:val="00042147"/>
  </w:style>
  <w:style w:type="character" w:customStyle="1" w:styleId="a5">
    <w:name w:val="Текст примітки Знак"/>
    <w:basedOn w:val="a1"/>
    <w:link w:val="a4"/>
    <w:semiHidden/>
    <w:rsid w:val="000421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0">
    <w:name w:val="Body Text"/>
    <w:basedOn w:val="a"/>
    <w:link w:val="a6"/>
    <w:uiPriority w:val="99"/>
    <w:semiHidden/>
    <w:unhideWhenUsed/>
    <w:rsid w:val="00042147"/>
    <w:pPr>
      <w:spacing w:after="120"/>
    </w:pPr>
  </w:style>
  <w:style w:type="character" w:customStyle="1" w:styleId="a6">
    <w:name w:val="Основний текст Знак"/>
    <w:basedOn w:val="a1"/>
    <w:link w:val="a0"/>
    <w:uiPriority w:val="99"/>
    <w:semiHidden/>
    <w:rsid w:val="0004214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42147"/>
    <w:rPr>
      <w:rFonts w:ascii="Consolas" w:hAnsi="Consolas"/>
    </w:rPr>
  </w:style>
  <w:style w:type="character" w:customStyle="1" w:styleId="HTML0">
    <w:name w:val="Стандартний HTML Знак"/>
    <w:basedOn w:val="a1"/>
    <w:link w:val="HTML"/>
    <w:uiPriority w:val="99"/>
    <w:semiHidden/>
    <w:rsid w:val="00042147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Chudo Olga</cp:lastModifiedBy>
  <cp:revision>5</cp:revision>
  <dcterms:created xsi:type="dcterms:W3CDTF">2025-04-09T12:44:00Z</dcterms:created>
  <dcterms:modified xsi:type="dcterms:W3CDTF">2025-04-17T12:38:00Z</dcterms:modified>
</cp:coreProperties>
</file>