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5A0CDA" w14:textId="77777777" w:rsidR="00D560AE" w:rsidRPr="00E027A3" w:rsidRDefault="00D560AE" w:rsidP="00882B9E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027A3">
        <w:rPr>
          <w:rFonts w:ascii="Times New Roman" w:hAnsi="Times New Roman" w:cs="Times New Roman"/>
          <w:sz w:val="28"/>
          <w:szCs w:val="28"/>
        </w:rPr>
        <w:t xml:space="preserve">ЗАТВЕРДЖЕНО </w:t>
      </w:r>
      <w:r w:rsidRPr="00E027A3">
        <w:rPr>
          <w:rFonts w:ascii="Times New Roman" w:hAnsi="Times New Roman" w:cs="Times New Roman"/>
          <w:sz w:val="28"/>
          <w:szCs w:val="28"/>
        </w:rPr>
        <w:br/>
        <w:t xml:space="preserve">постановою Кабінету Міністрів України </w:t>
      </w:r>
      <w:r w:rsidRPr="00E027A3">
        <w:rPr>
          <w:rFonts w:ascii="Times New Roman" w:hAnsi="Times New Roman" w:cs="Times New Roman"/>
          <w:sz w:val="28"/>
          <w:szCs w:val="28"/>
        </w:rPr>
        <w:br/>
        <w:t>від                        202</w:t>
      </w:r>
      <w:r w:rsidR="00920DFD" w:rsidRPr="00E027A3">
        <w:rPr>
          <w:rFonts w:ascii="Times New Roman" w:hAnsi="Times New Roman" w:cs="Times New Roman"/>
          <w:sz w:val="28"/>
          <w:szCs w:val="28"/>
        </w:rPr>
        <w:t>5</w:t>
      </w:r>
      <w:r w:rsidRPr="00E027A3">
        <w:rPr>
          <w:rFonts w:ascii="Times New Roman" w:hAnsi="Times New Roman" w:cs="Times New Roman"/>
          <w:sz w:val="28"/>
          <w:szCs w:val="28"/>
        </w:rPr>
        <w:t xml:space="preserve"> р. №</w:t>
      </w:r>
    </w:p>
    <w:p w14:paraId="5A384646" w14:textId="77777777" w:rsidR="00882B9E" w:rsidRPr="00E027A3" w:rsidRDefault="00882B9E" w:rsidP="00882B9E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</w:rPr>
      </w:pPr>
    </w:p>
    <w:p w14:paraId="1DABF604" w14:textId="2C8395DB" w:rsidR="00D560AE" w:rsidRPr="00E027A3" w:rsidRDefault="00D560AE" w:rsidP="00882B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n135"/>
      <w:bookmarkEnd w:id="1"/>
    </w:p>
    <w:p w14:paraId="6909C3BA" w14:textId="77777777" w:rsidR="00D560AE" w:rsidRPr="00E027A3" w:rsidRDefault="00D560AE" w:rsidP="00882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A3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14:paraId="36A6B354" w14:textId="77777777" w:rsidR="00D560AE" w:rsidRPr="00E027A3" w:rsidRDefault="00D560AE" w:rsidP="00882B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27A3">
        <w:rPr>
          <w:rFonts w:ascii="Times New Roman" w:hAnsi="Times New Roman" w:cs="Times New Roman"/>
          <w:b/>
          <w:bCs/>
          <w:sz w:val="28"/>
          <w:szCs w:val="28"/>
        </w:rPr>
        <w:t>ведення Єдиного державного реєстру інтегрованих довкіллєвих дозволів</w:t>
      </w:r>
    </w:p>
    <w:p w14:paraId="343A618D" w14:textId="77777777" w:rsidR="00D560AE" w:rsidRPr="00E027A3" w:rsidRDefault="00D560AE" w:rsidP="00882B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BD355D" w14:textId="2E53990C" w:rsidR="004C4240" w:rsidRPr="00E027A3" w:rsidRDefault="00C732A7" w:rsidP="00C732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1. 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Цей Порядок визначає </w:t>
      </w:r>
      <w:r w:rsidR="004C4240" w:rsidRPr="00E027A3">
        <w:rPr>
          <w:rFonts w:ascii="Times New Roman" w:hAnsi="Times New Roman" w:cs="Times New Roman"/>
          <w:sz w:val="28"/>
          <w:szCs w:val="28"/>
        </w:rPr>
        <w:t>механізм ведення Єдиного державного реєстру інтегрованих довкіллєвих дозволів (далі – Реєстр), інформаційного наповнення Реєстру даними та забезпечення доступу до нього.</w:t>
      </w:r>
    </w:p>
    <w:p w14:paraId="34F45C63" w14:textId="77777777" w:rsidR="00C732A7" w:rsidRPr="00E027A3" w:rsidRDefault="00C732A7" w:rsidP="00C732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CD27D5F" w14:textId="569533E3" w:rsidR="004C4240" w:rsidRDefault="00C732A7" w:rsidP="00C732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2. </w:t>
      </w:r>
      <w:r w:rsidR="004C4240" w:rsidRPr="00E027A3">
        <w:rPr>
          <w:rFonts w:ascii="Times New Roman" w:hAnsi="Times New Roman" w:cs="Times New Roman"/>
          <w:sz w:val="28"/>
          <w:szCs w:val="28"/>
        </w:rPr>
        <w:t>У цьому Порядку терміни вживаються у такому значенні:</w:t>
      </w:r>
    </w:p>
    <w:p w14:paraId="0B150F5E" w14:textId="23E7AB1D" w:rsidR="00987A24" w:rsidRPr="00E027A3" w:rsidRDefault="00987A24" w:rsidP="00C732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вебпортал Реєстру – це відокремлена частина Реєстру в ЕкоСистемі з відкритим доступом, призначена для офіційного оприлюднення документів та інформації у процесі видачі інтегрованого довкіллєвого дозволу та експлуатації установки, а також іншої інформації у сфері запобігання, зменшення та контролю промислового забруднення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CD23658" w14:textId="4B35B534" w:rsidR="00D560AE" w:rsidRPr="00E027A3" w:rsidRDefault="00D560AE" w:rsidP="00882B9E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реєстраційний номер справи про інтегрований довкіллєвий дозвіл у Реєстрі (далі – реєстраційний номер справи) – унікальне цифрове позначення, яке складається з цифр, що утворюють числа натурального ряду, що автоматично присвоюється програмними засобами Єдиної екологічної платформи </w:t>
      </w:r>
      <w:r w:rsidR="009E4FCD" w:rsidRPr="00E027A3">
        <w:rPr>
          <w:rFonts w:ascii="Times New Roman" w:hAnsi="Times New Roman" w:cs="Times New Roman"/>
          <w:sz w:val="28"/>
          <w:szCs w:val="28"/>
        </w:rPr>
        <w:t>«</w:t>
      </w:r>
      <w:r w:rsidRPr="00E027A3">
        <w:rPr>
          <w:rFonts w:ascii="Times New Roman" w:hAnsi="Times New Roman" w:cs="Times New Roman"/>
          <w:sz w:val="28"/>
          <w:szCs w:val="28"/>
        </w:rPr>
        <w:t>ЕкоСистема</w:t>
      </w:r>
      <w:r w:rsidR="009E4FCD" w:rsidRPr="00E027A3">
        <w:rPr>
          <w:rFonts w:ascii="Times New Roman" w:hAnsi="Times New Roman" w:cs="Times New Roman"/>
          <w:sz w:val="28"/>
          <w:szCs w:val="28"/>
        </w:rPr>
        <w:t>»</w:t>
      </w:r>
      <w:r w:rsidRPr="00E027A3">
        <w:rPr>
          <w:rFonts w:ascii="Times New Roman" w:hAnsi="Times New Roman" w:cs="Times New Roman"/>
          <w:sz w:val="28"/>
          <w:szCs w:val="28"/>
        </w:rPr>
        <w:t xml:space="preserve"> (далі </w:t>
      </w:r>
      <w:r w:rsidR="005260DB" w:rsidRPr="00E027A3">
        <w:rPr>
          <w:rFonts w:ascii="Times New Roman" w:hAnsi="Times New Roman" w:cs="Times New Roman"/>
          <w:sz w:val="28"/>
          <w:szCs w:val="28"/>
        </w:rPr>
        <w:t>–</w:t>
      </w:r>
      <w:r w:rsidRPr="00E027A3">
        <w:rPr>
          <w:rFonts w:ascii="Times New Roman" w:hAnsi="Times New Roman" w:cs="Times New Roman"/>
          <w:sz w:val="28"/>
          <w:szCs w:val="28"/>
        </w:rPr>
        <w:t xml:space="preserve"> ЕкоСистема) під час формування справи в Реєстрі. </w:t>
      </w:r>
    </w:p>
    <w:p w14:paraId="777B8D0E" w14:textId="19E1E517" w:rsidR="00D560AE" w:rsidRPr="00E027A3" w:rsidRDefault="00D560AE" w:rsidP="00D95F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Інші терміни у цьому Порядку вживаються у значенні, наведеному в </w:t>
      </w:r>
      <w:hyperlink r:id="rId7" w:tgtFrame="_blank" w:history="1">
        <w:r w:rsidRPr="00E027A3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D95FB0" w:rsidRPr="00E027A3">
        <w:rPr>
          <w:rFonts w:ascii="Times New Roman" w:hAnsi="Times New Roman" w:cs="Times New Roman"/>
          <w:sz w:val="28"/>
          <w:szCs w:val="28"/>
        </w:rPr>
        <w:t>ах України «Про інтегроване запобігання та контроль промислового забруднення»</w:t>
      </w:r>
      <w:r w:rsidRPr="00E027A3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tgtFrame="_blank" w:history="1">
        <w:r w:rsidRPr="00E027A3">
          <w:rPr>
            <w:rFonts w:ascii="Times New Roman" w:hAnsi="Times New Roman" w:cs="Times New Roman"/>
            <w:sz w:val="28"/>
            <w:szCs w:val="28"/>
          </w:rPr>
          <w:t>«</w:t>
        </w:r>
      </w:hyperlink>
      <w:hyperlink r:id="rId9" w:tgtFrame="_blank" w:history="1">
        <w:r w:rsidRPr="00E027A3">
          <w:rPr>
            <w:rFonts w:ascii="Times New Roman" w:hAnsi="Times New Roman" w:cs="Times New Roman"/>
            <w:sz w:val="28"/>
            <w:szCs w:val="28"/>
          </w:rPr>
          <w:t>Про публічні електронні реєстри</w:t>
        </w:r>
      </w:hyperlink>
      <w:hyperlink r:id="rId10" w:tgtFrame="_blank" w:history="1">
        <w:r w:rsidRPr="00E027A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2C7DD9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D55892" w:rsidRPr="00E027A3">
        <w:rPr>
          <w:rFonts w:ascii="Times New Roman" w:hAnsi="Times New Roman" w:cs="Times New Roman"/>
          <w:sz w:val="28"/>
          <w:szCs w:val="28"/>
        </w:rPr>
        <w:t>та</w:t>
      </w:r>
      <w:r w:rsidRPr="00E027A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anchor="n13" w:tgtFrame="_blank" w:history="1">
        <w:r w:rsidRPr="00E027A3">
          <w:rPr>
            <w:rFonts w:ascii="Times New Roman" w:hAnsi="Times New Roman" w:cs="Times New Roman"/>
            <w:sz w:val="28"/>
            <w:szCs w:val="28"/>
          </w:rPr>
          <w:t>Положенні про Єдину екологічну платформу «ЕкоСистема</w:t>
        </w:r>
      </w:hyperlink>
      <w:r w:rsidRPr="00E027A3">
        <w:rPr>
          <w:rFonts w:ascii="Times New Roman" w:hAnsi="Times New Roman" w:cs="Times New Roman"/>
          <w:sz w:val="28"/>
          <w:szCs w:val="28"/>
        </w:rPr>
        <w:t>», затвердженому постановою Кабінету Міністрів України від 11 жовтня 2021 р. № 1065</w:t>
      </w:r>
      <w:r w:rsidR="00E6480E" w:rsidRPr="00E027A3">
        <w:rPr>
          <w:rFonts w:ascii="Times New Roman" w:hAnsi="Times New Roman" w:cs="Times New Roman"/>
          <w:sz w:val="28"/>
          <w:szCs w:val="28"/>
        </w:rPr>
        <w:t xml:space="preserve"> (Офіційний вісник України, 2021 р., № 82, ст. 5264).</w:t>
      </w:r>
      <w:r w:rsidR="00F8267F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D55892" w:rsidRPr="00E027A3">
        <w:rPr>
          <w:rFonts w:ascii="Times New Roman" w:hAnsi="Times New Roman" w:cs="Times New Roman"/>
          <w:sz w:val="28"/>
          <w:szCs w:val="28"/>
        </w:rPr>
        <w:t>Термін</w:t>
      </w:r>
      <w:r w:rsidR="008421D2" w:rsidRPr="00E027A3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anchor="n8" w:tgtFrame="_blank" w:history="1">
        <w:r w:rsidR="009E3B94" w:rsidRPr="00E027A3">
          <w:rPr>
            <w:rFonts w:ascii="Times New Roman" w:hAnsi="Times New Roman" w:cs="Times New Roman"/>
            <w:sz w:val="28"/>
            <w:szCs w:val="28"/>
          </w:rPr>
          <w:t>«</w:t>
        </w:r>
        <w:r w:rsidR="00D55892" w:rsidRPr="00E027A3">
          <w:rPr>
            <w:rFonts w:ascii="Times New Roman" w:hAnsi="Times New Roman" w:cs="Times New Roman"/>
            <w:sz w:val="28"/>
            <w:szCs w:val="28"/>
          </w:rPr>
          <w:t>громадськість</w:t>
        </w:r>
        <w:r w:rsidR="009E3B94" w:rsidRPr="00E027A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8421D2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D55892" w:rsidRPr="00E027A3">
        <w:rPr>
          <w:rFonts w:ascii="Times New Roman" w:hAnsi="Times New Roman" w:cs="Times New Roman"/>
          <w:sz w:val="28"/>
          <w:szCs w:val="28"/>
        </w:rPr>
        <w:t xml:space="preserve">вживається у значенні, наведеному в Законі України </w:t>
      </w:r>
      <w:r w:rsidR="009E3B94" w:rsidRPr="00E027A3">
        <w:rPr>
          <w:rFonts w:ascii="Times New Roman" w:hAnsi="Times New Roman" w:cs="Times New Roman"/>
          <w:sz w:val="28"/>
          <w:szCs w:val="28"/>
        </w:rPr>
        <w:t>«</w:t>
      </w:r>
      <w:r w:rsidR="00D55892" w:rsidRPr="00E027A3">
        <w:rPr>
          <w:rFonts w:ascii="Times New Roman" w:hAnsi="Times New Roman" w:cs="Times New Roman"/>
          <w:sz w:val="28"/>
          <w:szCs w:val="28"/>
        </w:rPr>
        <w:t>Про оцінку впливу на довкілля</w:t>
      </w:r>
      <w:r w:rsidR="009E3B94" w:rsidRPr="00E027A3">
        <w:rPr>
          <w:rFonts w:ascii="Times New Roman" w:hAnsi="Times New Roman" w:cs="Times New Roman"/>
          <w:sz w:val="28"/>
          <w:szCs w:val="28"/>
        </w:rPr>
        <w:t>»</w:t>
      </w:r>
      <w:r w:rsidR="00D55892" w:rsidRPr="00E027A3">
        <w:rPr>
          <w:rFonts w:ascii="Times New Roman" w:hAnsi="Times New Roman" w:cs="Times New Roman"/>
          <w:sz w:val="28"/>
          <w:szCs w:val="28"/>
        </w:rPr>
        <w:t>.</w:t>
      </w:r>
    </w:p>
    <w:p w14:paraId="3891D511" w14:textId="77777777" w:rsidR="00C732A7" w:rsidRPr="00E027A3" w:rsidRDefault="00C732A7" w:rsidP="00D95FB0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DF500A" w14:textId="08DA44E6" w:rsidR="00D560AE" w:rsidRPr="00E027A3" w:rsidRDefault="00C732A7" w:rsidP="00C732A7">
      <w:pPr>
        <w:pStyle w:val="a8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3. </w:t>
      </w:r>
      <w:r w:rsidR="00D560AE" w:rsidRPr="00E027A3">
        <w:rPr>
          <w:rFonts w:ascii="Times New Roman" w:hAnsi="Times New Roman" w:cs="Times New Roman"/>
          <w:sz w:val="28"/>
          <w:szCs w:val="28"/>
        </w:rPr>
        <w:t>Реєстр створюється та ведеться з метою:</w:t>
      </w:r>
    </w:p>
    <w:p w14:paraId="670E7682" w14:textId="6AC4142E" w:rsidR="00D560AE" w:rsidRPr="00E027A3" w:rsidRDefault="002C6CA7" w:rsidP="008421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забезпечення </w:t>
      </w:r>
      <w:r w:rsidR="00ED36A4" w:rsidRPr="00E027A3">
        <w:rPr>
          <w:rFonts w:ascii="Times New Roman" w:hAnsi="Times New Roman" w:cs="Times New Roman"/>
          <w:sz w:val="28"/>
          <w:szCs w:val="28"/>
        </w:rPr>
        <w:t>електронної взаємодії між операто</w:t>
      </w:r>
      <w:r w:rsidR="00115E5E" w:rsidRPr="00E027A3">
        <w:rPr>
          <w:rFonts w:ascii="Times New Roman" w:hAnsi="Times New Roman" w:cs="Times New Roman"/>
          <w:sz w:val="28"/>
          <w:szCs w:val="28"/>
        </w:rPr>
        <w:t>ром</w:t>
      </w:r>
      <w:r w:rsidR="00ED36A4" w:rsidRPr="00E027A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115E5E" w:rsidRPr="00E027A3">
        <w:rPr>
          <w:rFonts w:ascii="Times New Roman" w:hAnsi="Times New Roman" w:cs="Times New Roman"/>
          <w:sz w:val="28"/>
          <w:szCs w:val="28"/>
        </w:rPr>
        <w:t>ки</w:t>
      </w:r>
      <w:r w:rsidR="00ED36A4" w:rsidRPr="00E027A3">
        <w:rPr>
          <w:rFonts w:ascii="Times New Roman" w:hAnsi="Times New Roman" w:cs="Times New Roman"/>
          <w:sz w:val="28"/>
          <w:szCs w:val="28"/>
        </w:rPr>
        <w:t xml:space="preserve">, </w:t>
      </w:r>
      <w:r w:rsidR="00D97D3F" w:rsidRPr="00E027A3">
        <w:rPr>
          <w:rFonts w:ascii="Times New Roman" w:hAnsi="Times New Roman" w:cs="Times New Roman"/>
          <w:sz w:val="28"/>
          <w:szCs w:val="28"/>
        </w:rPr>
        <w:t>Міндовкілля</w:t>
      </w:r>
      <w:r w:rsidR="00ED36A4" w:rsidRPr="00E027A3">
        <w:rPr>
          <w:rFonts w:ascii="Times New Roman" w:hAnsi="Times New Roman" w:cs="Times New Roman"/>
          <w:sz w:val="28"/>
          <w:szCs w:val="28"/>
        </w:rPr>
        <w:t>, компетентними органами, іншими органами державної влади, органами місцевого самоврядування та громадськістю</w:t>
      </w:r>
      <w:r w:rsidR="00ED36A4" w:rsidRPr="00E027A3" w:rsidDel="002C6CA7">
        <w:rPr>
          <w:rFonts w:ascii="Times New Roman" w:hAnsi="Times New Roman" w:cs="Times New Roman"/>
          <w:sz w:val="28"/>
          <w:szCs w:val="28"/>
        </w:rPr>
        <w:t xml:space="preserve"> 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у процесі </w:t>
      </w:r>
      <w:r w:rsidRPr="00E027A3">
        <w:rPr>
          <w:rFonts w:ascii="Times New Roman" w:hAnsi="Times New Roman" w:cs="Times New Roman"/>
          <w:sz w:val="28"/>
          <w:szCs w:val="28"/>
        </w:rPr>
        <w:t xml:space="preserve">видачі </w:t>
      </w:r>
      <w:r w:rsidR="00D560AE" w:rsidRPr="00E027A3">
        <w:rPr>
          <w:rFonts w:ascii="Times New Roman" w:hAnsi="Times New Roman" w:cs="Times New Roman"/>
          <w:sz w:val="28"/>
          <w:szCs w:val="28"/>
        </w:rPr>
        <w:t>інтегрованого довкіллєвого дозволу та експлуатації установки;</w:t>
      </w:r>
    </w:p>
    <w:p w14:paraId="6626AADA" w14:textId="305A0F31" w:rsidR="00D560AE" w:rsidRPr="00E027A3" w:rsidRDefault="006A3665" w:rsidP="008421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 xml:space="preserve">створення, збирання, </w:t>
      </w:r>
      <w:r w:rsidR="00D560AE" w:rsidRPr="00E027A3">
        <w:rPr>
          <w:rFonts w:ascii="Times New Roman" w:hAnsi="Times New Roman" w:cs="Times New Roman"/>
          <w:sz w:val="28"/>
          <w:szCs w:val="28"/>
        </w:rPr>
        <w:t>накопичення,</w:t>
      </w:r>
      <w:r w:rsidR="003D18BC">
        <w:rPr>
          <w:rFonts w:ascii="Times New Roman" w:hAnsi="Times New Roman" w:cs="Times New Roman"/>
          <w:sz w:val="28"/>
          <w:szCs w:val="28"/>
        </w:rPr>
        <w:t xml:space="preserve"> зберігання,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9B1037" w:rsidRPr="00E027A3">
        <w:rPr>
          <w:rFonts w:ascii="Times New Roman" w:hAnsi="Times New Roman" w:cs="Times New Roman"/>
          <w:sz w:val="28"/>
          <w:szCs w:val="28"/>
        </w:rPr>
        <w:t>облік</w:t>
      </w:r>
      <w:r w:rsidR="00115E5E" w:rsidRPr="00E027A3">
        <w:rPr>
          <w:rFonts w:ascii="Times New Roman" w:hAnsi="Times New Roman" w:cs="Times New Roman"/>
          <w:sz w:val="28"/>
          <w:szCs w:val="28"/>
        </w:rPr>
        <w:t>у</w:t>
      </w:r>
      <w:r w:rsidR="009B1037" w:rsidRPr="00E027A3">
        <w:rPr>
          <w:rFonts w:ascii="Times New Roman" w:hAnsi="Times New Roman" w:cs="Times New Roman"/>
          <w:sz w:val="28"/>
          <w:szCs w:val="28"/>
        </w:rPr>
        <w:t>, захист</w:t>
      </w:r>
      <w:r w:rsidR="00115E5E" w:rsidRPr="00E027A3">
        <w:rPr>
          <w:rFonts w:ascii="Times New Roman" w:hAnsi="Times New Roman" w:cs="Times New Roman"/>
          <w:sz w:val="28"/>
          <w:szCs w:val="28"/>
        </w:rPr>
        <w:t>у</w:t>
      </w:r>
      <w:r w:rsidR="009B1037" w:rsidRPr="00E027A3">
        <w:rPr>
          <w:rFonts w:ascii="Times New Roman" w:hAnsi="Times New Roman" w:cs="Times New Roman"/>
          <w:sz w:val="28"/>
          <w:szCs w:val="28"/>
        </w:rPr>
        <w:t xml:space="preserve">, відображення, 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оброблення, </w:t>
      </w:r>
      <w:r w:rsidR="009612BF" w:rsidRPr="00BB45DD">
        <w:rPr>
          <w:rFonts w:ascii="Times New Roman" w:hAnsi="Times New Roman" w:cs="Times New Roman"/>
          <w:sz w:val="28"/>
          <w:szCs w:val="28"/>
        </w:rPr>
        <w:t xml:space="preserve">надання та оприлюднення </w:t>
      </w:r>
      <w:r w:rsidR="00D560AE" w:rsidRPr="00BB45DD">
        <w:rPr>
          <w:rFonts w:ascii="Times New Roman" w:hAnsi="Times New Roman" w:cs="Times New Roman"/>
          <w:sz w:val="28"/>
          <w:szCs w:val="28"/>
        </w:rPr>
        <w:t xml:space="preserve">інформації </w:t>
      </w:r>
      <w:r w:rsidR="009612BF" w:rsidRPr="00BB45DD">
        <w:rPr>
          <w:rFonts w:ascii="Times New Roman" w:hAnsi="Times New Roman" w:cs="Times New Roman"/>
          <w:sz w:val="28"/>
          <w:szCs w:val="28"/>
        </w:rPr>
        <w:t>та документів</w:t>
      </w:r>
      <w:r w:rsidR="009612BF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Pr="00E027A3">
        <w:rPr>
          <w:rFonts w:ascii="Times New Roman" w:hAnsi="Times New Roman" w:cs="Times New Roman"/>
          <w:sz w:val="28"/>
          <w:szCs w:val="28"/>
        </w:rPr>
        <w:t>в процесі видачі інтегрованого довкіллєвого дозволу, експлуатації установки</w:t>
      </w:r>
      <w:r w:rsidR="009B1037" w:rsidRPr="00E027A3">
        <w:rPr>
          <w:rFonts w:ascii="Times New Roman" w:hAnsi="Times New Roman" w:cs="Times New Roman"/>
          <w:sz w:val="28"/>
          <w:szCs w:val="28"/>
        </w:rPr>
        <w:t>, а також іншої інформації</w:t>
      </w:r>
      <w:r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у сфері </w:t>
      </w:r>
      <w:r w:rsidR="00A54ED2" w:rsidRPr="00E027A3">
        <w:rPr>
          <w:rFonts w:ascii="Times New Roman" w:hAnsi="Times New Roman" w:cs="Times New Roman"/>
          <w:sz w:val="28"/>
          <w:szCs w:val="28"/>
        </w:rPr>
        <w:t>запобігання, зменшення та контролю промислового забруднення</w:t>
      </w:r>
      <w:r w:rsidR="00D560AE" w:rsidRPr="00E027A3">
        <w:rPr>
          <w:rFonts w:ascii="Times New Roman" w:hAnsi="Times New Roman" w:cs="Times New Roman"/>
          <w:sz w:val="28"/>
          <w:szCs w:val="28"/>
        </w:rPr>
        <w:t>;</w:t>
      </w:r>
    </w:p>
    <w:p w14:paraId="5B7D0299" w14:textId="62202653" w:rsidR="008421D2" w:rsidRPr="00E027A3" w:rsidRDefault="00115E5E" w:rsidP="008421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lastRenderedPageBreak/>
        <w:t xml:space="preserve">забезпечення 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вільного доступу операторів установок, громадськості та інших заінтересованих сторін через вебпортал Реєстру до інформації </w:t>
      </w:r>
      <w:r w:rsidR="008421D2" w:rsidRPr="00E027A3">
        <w:rPr>
          <w:rFonts w:ascii="Times New Roman" w:hAnsi="Times New Roman" w:cs="Times New Roman"/>
          <w:sz w:val="28"/>
          <w:szCs w:val="28"/>
        </w:rPr>
        <w:t xml:space="preserve">та документів </w:t>
      </w:r>
      <w:r w:rsidR="00CE779C" w:rsidRPr="00E027A3">
        <w:rPr>
          <w:rFonts w:ascii="Times New Roman" w:hAnsi="Times New Roman" w:cs="Times New Roman"/>
          <w:sz w:val="28"/>
          <w:szCs w:val="28"/>
        </w:rPr>
        <w:t>у процесі видачі інтегрованого довкіллєвого дозволу</w:t>
      </w:r>
      <w:r w:rsidR="009B1037" w:rsidRPr="00E027A3">
        <w:rPr>
          <w:rFonts w:ascii="Times New Roman" w:hAnsi="Times New Roman" w:cs="Times New Roman"/>
          <w:sz w:val="28"/>
          <w:szCs w:val="28"/>
        </w:rPr>
        <w:t xml:space="preserve">, </w:t>
      </w:r>
      <w:r w:rsidR="00CE779C" w:rsidRPr="00E027A3">
        <w:rPr>
          <w:rFonts w:ascii="Times New Roman" w:hAnsi="Times New Roman" w:cs="Times New Roman"/>
          <w:sz w:val="28"/>
          <w:szCs w:val="28"/>
        </w:rPr>
        <w:t>експлуатації установки, а також іншої інформації у сфері запобігання, зменшення та контролю промислового забруднення</w:t>
      </w:r>
      <w:r w:rsidR="00260CBE" w:rsidRPr="00E027A3">
        <w:rPr>
          <w:rFonts w:ascii="Times New Roman" w:hAnsi="Times New Roman" w:cs="Times New Roman"/>
          <w:sz w:val="28"/>
          <w:szCs w:val="28"/>
        </w:rPr>
        <w:t>.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808CDA" w14:textId="77777777" w:rsidR="00C732A7" w:rsidRPr="00E027A3" w:rsidRDefault="00C732A7" w:rsidP="008421D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2EC52B0" w14:textId="1C0AF494" w:rsidR="008E136C" w:rsidRPr="00FC7EE7" w:rsidRDefault="00C732A7" w:rsidP="00C732A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4. </w:t>
      </w:r>
      <w:bookmarkStart w:id="2" w:name="n19"/>
      <w:bookmarkStart w:id="3" w:name="n20"/>
      <w:bookmarkEnd w:id="2"/>
      <w:bookmarkEnd w:id="3"/>
      <w:r w:rsidR="008E136C" w:rsidRPr="00BB45DD">
        <w:rPr>
          <w:rFonts w:ascii="Times New Roman" w:hAnsi="Times New Roman" w:cs="Times New Roman"/>
          <w:sz w:val="28"/>
          <w:szCs w:val="28"/>
        </w:rPr>
        <w:t>Держателем та адміністратором Реєстру є Міндовкілля</w:t>
      </w:r>
      <w:r w:rsidR="00FC7EE7" w:rsidRPr="00BB45DD">
        <w:rPr>
          <w:rFonts w:ascii="Times New Roman" w:hAnsi="Times New Roman" w:cs="Times New Roman"/>
          <w:sz w:val="28"/>
          <w:szCs w:val="28"/>
        </w:rPr>
        <w:t>.</w:t>
      </w:r>
    </w:p>
    <w:p w14:paraId="04A87B7D" w14:textId="77777777" w:rsidR="00C732A7" w:rsidRPr="00E027A3" w:rsidRDefault="00C732A7" w:rsidP="00C732A7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E7EFD1" w14:textId="47DCF2E0" w:rsidR="00D560AE" w:rsidRPr="00FC7EE7" w:rsidRDefault="00C732A7" w:rsidP="00FC7EE7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n378"/>
      <w:bookmarkEnd w:id="4"/>
      <w:r w:rsidRPr="00E027A3">
        <w:rPr>
          <w:rFonts w:ascii="Times New Roman" w:hAnsi="Times New Roman" w:cs="Times New Roman"/>
          <w:sz w:val="28"/>
          <w:szCs w:val="28"/>
        </w:rPr>
        <w:t>5. </w:t>
      </w:r>
      <w:r w:rsidR="00D560AE" w:rsidRPr="00E027A3">
        <w:rPr>
          <w:rFonts w:ascii="Times New Roman" w:hAnsi="Times New Roman" w:cs="Times New Roman"/>
          <w:sz w:val="28"/>
          <w:szCs w:val="28"/>
        </w:rPr>
        <w:t>Реєстр є функціональним модулем ЕкоСистеми.</w:t>
      </w:r>
      <w:r w:rsidR="00FC7EE7" w:rsidRPr="00FC7EE7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 xml:space="preserve"> </w:t>
      </w:r>
    </w:p>
    <w:p w14:paraId="22321C2B" w14:textId="77777777" w:rsidR="00C732A7" w:rsidRPr="00E027A3" w:rsidRDefault="00C732A7" w:rsidP="00C732A7">
      <w:pPr>
        <w:tabs>
          <w:tab w:val="left" w:pos="142"/>
          <w:tab w:val="left" w:pos="567"/>
          <w:tab w:val="left" w:pos="993"/>
          <w:tab w:val="left" w:pos="1134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51E81FCF" w14:textId="2AAF1269" w:rsidR="00D560AE" w:rsidRPr="00E027A3" w:rsidRDefault="00C732A7" w:rsidP="00C732A7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6. </w:t>
      </w:r>
      <w:r w:rsidR="00D560AE" w:rsidRPr="00E027A3">
        <w:rPr>
          <w:rFonts w:ascii="Times New Roman" w:hAnsi="Times New Roman" w:cs="Times New Roman"/>
          <w:sz w:val="28"/>
          <w:szCs w:val="28"/>
        </w:rPr>
        <w:t>Доступ до Реєстру здійснюється через ЕкоСистему.</w:t>
      </w:r>
    </w:p>
    <w:p w14:paraId="776F60C1" w14:textId="77777777" w:rsidR="00C732A7" w:rsidRPr="00E027A3" w:rsidRDefault="00C732A7" w:rsidP="00C732A7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191DD7" w14:textId="0EB1A786" w:rsidR="00D560AE" w:rsidRPr="00BB45DD" w:rsidRDefault="00C732A7" w:rsidP="00C732A7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7. </w:t>
      </w:r>
      <w:r w:rsidR="00D560AE" w:rsidRPr="00E027A3">
        <w:rPr>
          <w:rFonts w:ascii="Times New Roman" w:hAnsi="Times New Roman" w:cs="Times New Roman"/>
          <w:sz w:val="28"/>
          <w:szCs w:val="28"/>
        </w:rPr>
        <w:t>На документи, що вносяться до Реєстру, накладається кваліфікований електронний підпис</w:t>
      </w:r>
      <w:r w:rsidR="00B465D5">
        <w:rPr>
          <w:rFonts w:ascii="Times New Roman" w:hAnsi="Times New Roman" w:cs="Times New Roman"/>
          <w:sz w:val="28"/>
          <w:szCs w:val="28"/>
        </w:rPr>
        <w:t xml:space="preserve"> відповідно до вимог </w:t>
      </w:r>
      <w:hyperlink r:id="rId13" w:tgtFrame="_blank" w:history="1">
        <w:r w:rsidR="00E6480E" w:rsidRPr="00BB45DD">
          <w:rPr>
            <w:rFonts w:ascii="Times New Roman" w:hAnsi="Times New Roman" w:cs="Times New Roman"/>
            <w:sz w:val="28"/>
            <w:szCs w:val="28"/>
          </w:rPr>
          <w:t>Закону України</w:t>
        </w:r>
      </w:hyperlink>
      <w:r w:rsidR="00B465D5" w:rsidRPr="00BB45DD">
        <w:rPr>
          <w:rFonts w:ascii="Times New Roman" w:hAnsi="Times New Roman" w:cs="Times New Roman"/>
          <w:sz w:val="28"/>
          <w:szCs w:val="28"/>
        </w:rPr>
        <w:t xml:space="preserve"> </w:t>
      </w:r>
      <w:r w:rsidR="00E6480E" w:rsidRPr="00BB45DD">
        <w:rPr>
          <w:rFonts w:ascii="Times New Roman" w:hAnsi="Times New Roman" w:cs="Times New Roman"/>
          <w:sz w:val="28"/>
          <w:szCs w:val="28"/>
        </w:rPr>
        <w:t>«Про електронн</w:t>
      </w:r>
      <w:r w:rsidR="00B465D5" w:rsidRPr="00BB45DD">
        <w:rPr>
          <w:rFonts w:ascii="Times New Roman" w:hAnsi="Times New Roman" w:cs="Times New Roman"/>
          <w:sz w:val="28"/>
          <w:szCs w:val="28"/>
        </w:rPr>
        <w:t>у ідентифікацію та електронні довірчі послуги</w:t>
      </w:r>
      <w:r w:rsidR="00E6480E" w:rsidRPr="00BB45DD">
        <w:rPr>
          <w:rFonts w:ascii="Times New Roman" w:hAnsi="Times New Roman" w:cs="Times New Roman"/>
          <w:sz w:val="28"/>
          <w:szCs w:val="28"/>
        </w:rPr>
        <w:t>».</w:t>
      </w:r>
      <w:r w:rsidR="00B465D5" w:rsidRPr="00BB45D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DFC2BB" w14:textId="77777777" w:rsidR="00C732A7" w:rsidRPr="00BB45DD" w:rsidRDefault="00C732A7" w:rsidP="00C732A7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C07EDA" w14:textId="1C2FFC67" w:rsidR="00D560AE" w:rsidRPr="00E027A3" w:rsidRDefault="006D5013" w:rsidP="00C732A7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n379"/>
      <w:bookmarkEnd w:id="5"/>
      <w:r w:rsidRPr="00BB45DD">
        <w:rPr>
          <w:rFonts w:ascii="Times New Roman" w:hAnsi="Times New Roman" w:cs="Times New Roman"/>
          <w:sz w:val="28"/>
          <w:szCs w:val="28"/>
        </w:rPr>
        <w:t>8</w:t>
      </w:r>
      <w:r w:rsidR="00C732A7" w:rsidRPr="00BB45DD">
        <w:rPr>
          <w:rFonts w:ascii="Times New Roman" w:hAnsi="Times New Roman" w:cs="Times New Roman"/>
          <w:sz w:val="28"/>
          <w:szCs w:val="28"/>
        </w:rPr>
        <w:t>. </w:t>
      </w:r>
      <w:r w:rsidR="00D560AE" w:rsidRPr="00BB45DD">
        <w:rPr>
          <w:rFonts w:ascii="Times New Roman" w:hAnsi="Times New Roman" w:cs="Times New Roman"/>
          <w:sz w:val="28"/>
          <w:szCs w:val="28"/>
        </w:rPr>
        <w:t xml:space="preserve">Реєстр </w:t>
      </w:r>
      <w:r w:rsidR="0060770F" w:rsidRPr="00BB45DD">
        <w:rPr>
          <w:rFonts w:ascii="Times New Roman" w:hAnsi="Times New Roman" w:cs="Times New Roman"/>
          <w:sz w:val="28"/>
          <w:szCs w:val="28"/>
        </w:rPr>
        <w:t>є</w:t>
      </w:r>
      <w:r w:rsidR="00D560AE" w:rsidRPr="00BB45DD">
        <w:rPr>
          <w:rFonts w:ascii="Times New Roman" w:hAnsi="Times New Roman" w:cs="Times New Roman"/>
          <w:sz w:val="28"/>
          <w:szCs w:val="28"/>
        </w:rPr>
        <w:t xml:space="preserve"> інтегрованим із системою електронної взаємодії електронних ресурсів. Інформаційн</w:t>
      </w:r>
      <w:r w:rsidR="00D560AE" w:rsidRPr="00E027A3">
        <w:rPr>
          <w:rFonts w:ascii="Times New Roman" w:hAnsi="Times New Roman" w:cs="Times New Roman"/>
          <w:sz w:val="28"/>
          <w:szCs w:val="28"/>
        </w:rPr>
        <w:t>а взаємодія Реєстру з іншими державними електронними інформаційними ресурсами здійснюється засобами системи електронної взаємодії електронних ресурсів або інших інформаційно-комунікаційних систем із застосуванням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</w:r>
      <w:bookmarkStart w:id="6" w:name="n380"/>
      <w:bookmarkStart w:id="7" w:name="n381"/>
      <w:bookmarkEnd w:id="6"/>
      <w:bookmarkEnd w:id="7"/>
    </w:p>
    <w:p w14:paraId="1A84C114" w14:textId="77777777" w:rsidR="00771C08" w:rsidRPr="00E027A3" w:rsidRDefault="00771C08" w:rsidP="00C732A7">
      <w:pPr>
        <w:tabs>
          <w:tab w:val="left" w:pos="0"/>
          <w:tab w:val="left" w:pos="142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DF8BF8" w14:textId="773FF8ED" w:rsidR="0047301C" w:rsidRPr="00E027A3" w:rsidRDefault="00FF7FE2" w:rsidP="00C732A7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732A7" w:rsidRPr="00E027A3">
        <w:rPr>
          <w:rFonts w:ascii="Times New Roman" w:hAnsi="Times New Roman" w:cs="Times New Roman"/>
          <w:sz w:val="28"/>
          <w:szCs w:val="28"/>
        </w:rPr>
        <w:t>. </w:t>
      </w:r>
      <w:r w:rsidR="00D858E3" w:rsidRPr="00E027A3">
        <w:rPr>
          <w:rFonts w:ascii="Times New Roman" w:hAnsi="Times New Roman" w:cs="Times New Roman"/>
          <w:sz w:val="28"/>
          <w:szCs w:val="28"/>
        </w:rPr>
        <w:t>Створення</w:t>
      </w:r>
      <w:r w:rsidR="00260CBE" w:rsidRPr="00E027A3">
        <w:rPr>
          <w:rFonts w:ascii="Times New Roman" w:hAnsi="Times New Roman" w:cs="Times New Roman"/>
          <w:sz w:val="28"/>
          <w:szCs w:val="28"/>
        </w:rPr>
        <w:t xml:space="preserve">, </w:t>
      </w:r>
      <w:r w:rsidR="00D858E3" w:rsidRPr="00E027A3">
        <w:rPr>
          <w:rFonts w:ascii="Times New Roman" w:hAnsi="Times New Roman" w:cs="Times New Roman"/>
          <w:sz w:val="28"/>
          <w:szCs w:val="28"/>
        </w:rPr>
        <w:t xml:space="preserve">подання </w:t>
      </w:r>
      <w:r w:rsidR="00260CBE" w:rsidRPr="00E027A3">
        <w:rPr>
          <w:rFonts w:ascii="Times New Roman" w:hAnsi="Times New Roman" w:cs="Times New Roman"/>
          <w:sz w:val="28"/>
          <w:szCs w:val="28"/>
        </w:rPr>
        <w:t xml:space="preserve">та внесення </w:t>
      </w:r>
      <w:r w:rsidR="00D858E3" w:rsidRPr="00E027A3">
        <w:rPr>
          <w:rFonts w:ascii="Times New Roman" w:hAnsi="Times New Roman" w:cs="Times New Roman"/>
          <w:sz w:val="28"/>
          <w:szCs w:val="28"/>
        </w:rPr>
        <w:t xml:space="preserve">інформації </w:t>
      </w:r>
      <w:r w:rsidR="005302CB" w:rsidRPr="00E027A3">
        <w:rPr>
          <w:rFonts w:ascii="Times New Roman" w:hAnsi="Times New Roman" w:cs="Times New Roman"/>
          <w:sz w:val="28"/>
          <w:szCs w:val="28"/>
        </w:rPr>
        <w:t xml:space="preserve">та документів </w:t>
      </w:r>
      <w:r w:rsidR="00D858E3" w:rsidRPr="00E027A3">
        <w:rPr>
          <w:rFonts w:ascii="Times New Roman" w:hAnsi="Times New Roman" w:cs="Times New Roman"/>
          <w:sz w:val="28"/>
          <w:szCs w:val="28"/>
        </w:rPr>
        <w:t xml:space="preserve">до Реєстру </w:t>
      </w:r>
      <w:r w:rsidR="00260CBE" w:rsidRPr="00E027A3">
        <w:rPr>
          <w:rFonts w:ascii="Times New Roman" w:hAnsi="Times New Roman" w:cs="Times New Roman"/>
          <w:sz w:val="28"/>
          <w:szCs w:val="28"/>
        </w:rPr>
        <w:t>оператор</w:t>
      </w:r>
      <w:r w:rsidR="00115E5E" w:rsidRPr="00E027A3">
        <w:rPr>
          <w:rFonts w:ascii="Times New Roman" w:hAnsi="Times New Roman" w:cs="Times New Roman"/>
          <w:sz w:val="28"/>
          <w:szCs w:val="28"/>
        </w:rPr>
        <w:t>ом</w:t>
      </w:r>
      <w:r w:rsidR="00260CBE" w:rsidRPr="00E027A3">
        <w:rPr>
          <w:rFonts w:ascii="Times New Roman" w:hAnsi="Times New Roman" w:cs="Times New Roman"/>
          <w:sz w:val="28"/>
          <w:szCs w:val="28"/>
        </w:rPr>
        <w:t xml:space="preserve"> установ</w:t>
      </w:r>
      <w:r w:rsidR="00115E5E" w:rsidRPr="00E027A3">
        <w:rPr>
          <w:rFonts w:ascii="Times New Roman" w:hAnsi="Times New Roman" w:cs="Times New Roman"/>
          <w:sz w:val="28"/>
          <w:szCs w:val="28"/>
        </w:rPr>
        <w:t>ки</w:t>
      </w:r>
      <w:r w:rsidR="00260CBE" w:rsidRPr="00E027A3">
        <w:rPr>
          <w:rFonts w:ascii="Times New Roman" w:hAnsi="Times New Roman" w:cs="Times New Roman"/>
          <w:sz w:val="28"/>
          <w:szCs w:val="28"/>
        </w:rPr>
        <w:t xml:space="preserve">, </w:t>
      </w:r>
      <w:r w:rsidR="005116A3" w:rsidRPr="00E027A3">
        <w:rPr>
          <w:rFonts w:ascii="Times New Roman" w:hAnsi="Times New Roman" w:cs="Times New Roman"/>
          <w:sz w:val="28"/>
          <w:szCs w:val="28"/>
        </w:rPr>
        <w:t>Міндовкілля</w:t>
      </w:r>
      <w:r w:rsidR="0047301C" w:rsidRPr="00E027A3">
        <w:rPr>
          <w:rFonts w:ascii="Times New Roman" w:hAnsi="Times New Roman" w:cs="Times New Roman"/>
          <w:sz w:val="28"/>
          <w:szCs w:val="28"/>
        </w:rPr>
        <w:t xml:space="preserve"> та </w:t>
      </w:r>
      <w:r w:rsidR="00260CBE" w:rsidRPr="00E027A3">
        <w:rPr>
          <w:rFonts w:ascii="Times New Roman" w:hAnsi="Times New Roman" w:cs="Times New Roman"/>
          <w:sz w:val="28"/>
          <w:szCs w:val="28"/>
        </w:rPr>
        <w:t>компетентними органами</w:t>
      </w:r>
      <w:r w:rsidR="0047301C" w:rsidRPr="00E027A3">
        <w:rPr>
          <w:rFonts w:ascii="Times New Roman" w:hAnsi="Times New Roman" w:cs="Times New Roman"/>
          <w:sz w:val="28"/>
          <w:szCs w:val="28"/>
        </w:rPr>
        <w:t>, а також електронна взаємодія між ними</w:t>
      </w:r>
      <w:r w:rsidR="00260CBE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7D24C8" w:rsidRPr="00E027A3">
        <w:rPr>
          <w:rFonts w:ascii="Times New Roman" w:hAnsi="Times New Roman" w:cs="Times New Roman"/>
          <w:sz w:val="28"/>
          <w:szCs w:val="28"/>
        </w:rPr>
        <w:t>в процесі видачі інтегрованого довкіллєвого дозволу та експлуатації установки здійснюється через електронний кабінет користувача.</w:t>
      </w:r>
    </w:p>
    <w:p w14:paraId="02F5E0BB" w14:textId="77777777" w:rsidR="00771C08" w:rsidRPr="00E027A3" w:rsidRDefault="00771C08" w:rsidP="00C732A7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DFB5F6" w14:textId="11D8E7B4" w:rsidR="00F67BF0" w:rsidRPr="00E027A3" w:rsidRDefault="00C732A7" w:rsidP="00C732A7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</w:t>
      </w:r>
      <w:r w:rsidR="00FF7FE2">
        <w:rPr>
          <w:rFonts w:ascii="Times New Roman" w:hAnsi="Times New Roman" w:cs="Times New Roman"/>
          <w:sz w:val="28"/>
          <w:szCs w:val="28"/>
        </w:rPr>
        <w:t>0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F67BF0" w:rsidRPr="00E027A3">
        <w:rPr>
          <w:rFonts w:ascii="Times New Roman" w:hAnsi="Times New Roman" w:cs="Times New Roman"/>
          <w:sz w:val="28"/>
          <w:szCs w:val="28"/>
        </w:rPr>
        <w:t>Електронний кабінет користувача забезпечує громадськості можливість реєстрації для участі у громадських слуханнях, подання зауважень і пропозицій у процесі видачі інтегрованого довкіллєвого дозволу (внесення змін до нього), а також адресного інформування про оприлюднення в Реєстрі інформації та документів.</w:t>
      </w:r>
    </w:p>
    <w:p w14:paraId="2DBB131E" w14:textId="77777777" w:rsidR="00771C08" w:rsidRPr="00E027A3" w:rsidRDefault="00771C08" w:rsidP="00C732A7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DF05C8B" w14:textId="5C8A5F37" w:rsidR="00F67BF0" w:rsidRPr="00E027A3" w:rsidRDefault="00C732A7" w:rsidP="00C732A7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</w:t>
      </w:r>
      <w:r w:rsidR="00FF7FE2">
        <w:rPr>
          <w:rFonts w:ascii="Times New Roman" w:hAnsi="Times New Roman" w:cs="Times New Roman"/>
          <w:sz w:val="28"/>
          <w:szCs w:val="28"/>
        </w:rPr>
        <w:t>1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D560AE" w:rsidRPr="00E027A3">
        <w:rPr>
          <w:rFonts w:ascii="Times New Roman" w:hAnsi="Times New Roman" w:cs="Times New Roman"/>
          <w:sz w:val="28"/>
          <w:szCs w:val="28"/>
        </w:rPr>
        <w:t>Доступ до еле</w:t>
      </w:r>
      <w:r w:rsidR="00D858E3" w:rsidRPr="00E027A3">
        <w:rPr>
          <w:rFonts w:ascii="Times New Roman" w:hAnsi="Times New Roman" w:cs="Times New Roman"/>
          <w:sz w:val="28"/>
          <w:szCs w:val="28"/>
        </w:rPr>
        <w:t xml:space="preserve">ктронного кабінету користувача </w:t>
      </w:r>
      <w:r w:rsidR="00D560AE" w:rsidRPr="00E027A3">
        <w:rPr>
          <w:rFonts w:ascii="Times New Roman" w:hAnsi="Times New Roman" w:cs="Times New Roman"/>
          <w:sz w:val="28"/>
          <w:szCs w:val="28"/>
        </w:rPr>
        <w:t>здійснюється після проходження користувачами електронної ідентифікації та автентифікації відповідно до </w:t>
      </w:r>
      <w:hyperlink r:id="rId14" w:anchor="n13" w:tgtFrame="_blank" w:history="1">
        <w:r w:rsidR="00D560AE" w:rsidRPr="00E027A3">
          <w:rPr>
            <w:rFonts w:ascii="Times New Roman" w:hAnsi="Times New Roman" w:cs="Times New Roman"/>
            <w:sz w:val="28"/>
            <w:szCs w:val="28"/>
          </w:rPr>
          <w:t xml:space="preserve">Положення про Єдину екологічну платформу </w:t>
        </w:r>
        <w:r w:rsidR="00F8267F" w:rsidRPr="00E027A3">
          <w:rPr>
            <w:rFonts w:ascii="Times New Roman" w:hAnsi="Times New Roman" w:cs="Times New Roman"/>
            <w:sz w:val="28"/>
            <w:szCs w:val="28"/>
          </w:rPr>
          <w:t>«</w:t>
        </w:r>
        <w:r w:rsidR="00D560AE" w:rsidRPr="00E027A3">
          <w:rPr>
            <w:rFonts w:ascii="Times New Roman" w:hAnsi="Times New Roman" w:cs="Times New Roman"/>
            <w:sz w:val="28"/>
            <w:szCs w:val="28"/>
          </w:rPr>
          <w:t>ЕкоСистема</w:t>
        </w:r>
        <w:r w:rsidR="00F8267F" w:rsidRPr="00E027A3">
          <w:rPr>
            <w:rFonts w:ascii="Times New Roman" w:hAnsi="Times New Roman" w:cs="Times New Roman"/>
            <w:sz w:val="28"/>
            <w:szCs w:val="28"/>
          </w:rPr>
          <w:t>»</w:t>
        </w:r>
      </w:hyperlink>
      <w:r w:rsidR="00D560AE" w:rsidRPr="00E027A3">
        <w:rPr>
          <w:rFonts w:ascii="Times New Roman" w:hAnsi="Times New Roman" w:cs="Times New Roman"/>
          <w:sz w:val="28"/>
          <w:szCs w:val="28"/>
        </w:rPr>
        <w:t>, затвердженого постановою Кабінету Міністрів України від 11 жовтня 2021 р. № 1065 (Офіційний вісник України, 2021 р., № 82, ст. 5264</w:t>
      </w:r>
      <w:r w:rsidR="0060770F" w:rsidRPr="00E027A3">
        <w:rPr>
          <w:rFonts w:ascii="Times New Roman" w:hAnsi="Times New Roman" w:cs="Times New Roman"/>
          <w:sz w:val="28"/>
          <w:szCs w:val="28"/>
        </w:rPr>
        <w:t>)</w:t>
      </w:r>
      <w:r w:rsidR="00D560AE" w:rsidRPr="00E027A3">
        <w:rPr>
          <w:rFonts w:ascii="Times New Roman" w:hAnsi="Times New Roman" w:cs="Times New Roman"/>
          <w:sz w:val="28"/>
          <w:szCs w:val="28"/>
        </w:rPr>
        <w:t>.</w:t>
      </w:r>
      <w:r w:rsidR="00F67BF0" w:rsidRPr="00E027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F89E72" w14:textId="77777777" w:rsidR="00771C08" w:rsidRPr="00E027A3" w:rsidRDefault="00771C08" w:rsidP="00C732A7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80D5455" w14:textId="494F59C3" w:rsidR="00B57B48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5DD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C557F6" w:rsidRPr="00BB45DD">
        <w:rPr>
          <w:rFonts w:ascii="Times New Roman" w:hAnsi="Times New Roman" w:cs="Times New Roman"/>
          <w:sz w:val="28"/>
          <w:szCs w:val="28"/>
        </w:rPr>
        <w:t>2</w:t>
      </w:r>
      <w:r w:rsidRPr="00BB45DD">
        <w:rPr>
          <w:rFonts w:ascii="Times New Roman" w:hAnsi="Times New Roman" w:cs="Times New Roman"/>
          <w:sz w:val="28"/>
          <w:szCs w:val="28"/>
        </w:rPr>
        <w:t>. </w:t>
      </w:r>
      <w:r w:rsidR="00B57B48" w:rsidRPr="00BB45DD">
        <w:rPr>
          <w:rFonts w:ascii="Times New Roman" w:hAnsi="Times New Roman" w:cs="Times New Roman"/>
          <w:sz w:val="28"/>
          <w:szCs w:val="28"/>
        </w:rPr>
        <w:t xml:space="preserve">Відомості про осіб, які від імені користувача (юридичної, фізичної особи-підприємця) будуть мати доступ до електронного кабінету користувача, вносяться керівником </w:t>
      </w:r>
      <w:r w:rsidR="000E1EF4" w:rsidRPr="00BB45DD">
        <w:rPr>
          <w:rFonts w:ascii="Times New Roman" w:hAnsi="Times New Roman" w:cs="Times New Roman"/>
          <w:sz w:val="28"/>
          <w:szCs w:val="28"/>
        </w:rPr>
        <w:t xml:space="preserve">юридичної </w:t>
      </w:r>
      <w:r w:rsidR="009178D7">
        <w:rPr>
          <w:rFonts w:ascii="Times New Roman" w:hAnsi="Times New Roman" w:cs="Times New Roman"/>
          <w:sz w:val="28"/>
          <w:szCs w:val="28"/>
        </w:rPr>
        <w:t xml:space="preserve">особи </w:t>
      </w:r>
      <w:r w:rsidR="000E1EF4" w:rsidRPr="00BB45DD">
        <w:rPr>
          <w:rFonts w:ascii="Times New Roman" w:hAnsi="Times New Roman" w:cs="Times New Roman"/>
          <w:sz w:val="28"/>
          <w:szCs w:val="28"/>
        </w:rPr>
        <w:t>або фізично</w:t>
      </w:r>
      <w:r w:rsidR="003C0257">
        <w:rPr>
          <w:rFonts w:ascii="Times New Roman" w:hAnsi="Times New Roman" w:cs="Times New Roman"/>
          <w:sz w:val="28"/>
          <w:szCs w:val="28"/>
        </w:rPr>
        <w:t>ю</w:t>
      </w:r>
      <w:r w:rsidR="000E1EF4" w:rsidRPr="00BB45DD">
        <w:rPr>
          <w:rFonts w:ascii="Times New Roman" w:hAnsi="Times New Roman" w:cs="Times New Roman"/>
          <w:sz w:val="28"/>
          <w:szCs w:val="28"/>
        </w:rPr>
        <w:t xml:space="preserve"> особ</w:t>
      </w:r>
      <w:r w:rsidR="003C0257">
        <w:rPr>
          <w:rFonts w:ascii="Times New Roman" w:hAnsi="Times New Roman" w:cs="Times New Roman"/>
          <w:sz w:val="28"/>
          <w:szCs w:val="28"/>
        </w:rPr>
        <w:t>ою</w:t>
      </w:r>
      <w:r w:rsidR="000E1EF4" w:rsidRPr="00BB45DD">
        <w:rPr>
          <w:rFonts w:ascii="Times New Roman" w:hAnsi="Times New Roman" w:cs="Times New Roman"/>
          <w:sz w:val="28"/>
          <w:szCs w:val="28"/>
        </w:rPr>
        <w:t>-підприємц</w:t>
      </w:r>
      <w:r w:rsidR="003C0257">
        <w:rPr>
          <w:rFonts w:ascii="Times New Roman" w:hAnsi="Times New Roman" w:cs="Times New Roman"/>
          <w:sz w:val="28"/>
          <w:szCs w:val="28"/>
        </w:rPr>
        <w:t>ем</w:t>
      </w:r>
      <w:r w:rsidR="00B57B48" w:rsidRPr="00BB45DD">
        <w:rPr>
          <w:rFonts w:ascii="Times New Roman" w:hAnsi="Times New Roman" w:cs="Times New Roman"/>
          <w:sz w:val="28"/>
          <w:szCs w:val="28"/>
        </w:rPr>
        <w:t>.</w:t>
      </w:r>
    </w:p>
    <w:p w14:paraId="14E342E6" w14:textId="77777777" w:rsidR="00771C08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133A88" w14:textId="480163B0" w:rsidR="00E11410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</w:t>
      </w:r>
      <w:r w:rsidR="00C557F6">
        <w:rPr>
          <w:rFonts w:ascii="Times New Roman" w:hAnsi="Times New Roman" w:cs="Times New Roman"/>
          <w:sz w:val="28"/>
          <w:szCs w:val="28"/>
        </w:rPr>
        <w:t>3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E11410" w:rsidRPr="00E027A3">
        <w:rPr>
          <w:rFonts w:ascii="Times New Roman" w:hAnsi="Times New Roman" w:cs="Times New Roman"/>
          <w:sz w:val="28"/>
          <w:szCs w:val="28"/>
        </w:rPr>
        <w:t>Автоматичне повідомлення</w:t>
      </w:r>
      <w:r w:rsidR="001418E8" w:rsidRPr="00E027A3">
        <w:rPr>
          <w:rFonts w:ascii="Times New Roman" w:hAnsi="Times New Roman" w:cs="Times New Roman"/>
          <w:sz w:val="28"/>
          <w:szCs w:val="28"/>
        </w:rPr>
        <w:t>, що</w:t>
      </w:r>
      <w:r w:rsidR="00E11410" w:rsidRPr="00E027A3">
        <w:rPr>
          <w:rFonts w:ascii="Times New Roman" w:hAnsi="Times New Roman" w:cs="Times New Roman"/>
          <w:sz w:val="28"/>
          <w:szCs w:val="28"/>
        </w:rPr>
        <w:t xml:space="preserve"> підтвердж</w:t>
      </w:r>
      <w:r w:rsidR="001418E8" w:rsidRPr="00E027A3">
        <w:rPr>
          <w:rFonts w:ascii="Times New Roman" w:hAnsi="Times New Roman" w:cs="Times New Roman"/>
          <w:sz w:val="28"/>
          <w:szCs w:val="28"/>
        </w:rPr>
        <w:t>ує</w:t>
      </w:r>
      <w:r w:rsidR="00E11410" w:rsidRPr="00E027A3">
        <w:rPr>
          <w:rFonts w:ascii="Times New Roman" w:hAnsi="Times New Roman" w:cs="Times New Roman"/>
          <w:sz w:val="28"/>
          <w:szCs w:val="28"/>
        </w:rPr>
        <w:t xml:space="preserve"> факт і дат</w:t>
      </w:r>
      <w:r w:rsidR="001418E8" w:rsidRPr="00E027A3">
        <w:rPr>
          <w:rFonts w:ascii="Times New Roman" w:hAnsi="Times New Roman" w:cs="Times New Roman"/>
          <w:sz w:val="28"/>
          <w:szCs w:val="28"/>
        </w:rPr>
        <w:t>у</w:t>
      </w:r>
      <w:r w:rsidR="00E11410" w:rsidRPr="00E027A3">
        <w:rPr>
          <w:rFonts w:ascii="Times New Roman" w:hAnsi="Times New Roman" w:cs="Times New Roman"/>
          <w:sz w:val="28"/>
          <w:szCs w:val="28"/>
        </w:rPr>
        <w:t xml:space="preserve"> одержання </w:t>
      </w:r>
      <w:r w:rsidR="005116A3" w:rsidRPr="00E027A3">
        <w:rPr>
          <w:rFonts w:ascii="Times New Roman" w:hAnsi="Times New Roman" w:cs="Times New Roman"/>
          <w:sz w:val="28"/>
          <w:szCs w:val="28"/>
        </w:rPr>
        <w:t>Міндовкілля</w:t>
      </w:r>
      <w:r w:rsidR="00E11410" w:rsidRPr="00E027A3">
        <w:rPr>
          <w:rFonts w:ascii="Times New Roman" w:hAnsi="Times New Roman" w:cs="Times New Roman"/>
          <w:sz w:val="28"/>
          <w:szCs w:val="28"/>
        </w:rPr>
        <w:t xml:space="preserve"> документів </w:t>
      </w:r>
      <w:r w:rsidR="006F5177" w:rsidRPr="00E027A3">
        <w:rPr>
          <w:rFonts w:ascii="Times New Roman" w:hAnsi="Times New Roman" w:cs="Times New Roman"/>
          <w:sz w:val="28"/>
          <w:szCs w:val="28"/>
        </w:rPr>
        <w:t>або</w:t>
      </w:r>
      <w:r w:rsidR="00E11410" w:rsidRPr="00E027A3">
        <w:rPr>
          <w:rFonts w:ascii="Times New Roman" w:hAnsi="Times New Roman" w:cs="Times New Roman"/>
          <w:sz w:val="28"/>
          <w:szCs w:val="28"/>
        </w:rPr>
        <w:t xml:space="preserve"> інформації, поданих оператором установки, </w:t>
      </w:r>
      <w:r w:rsidR="006F5177" w:rsidRPr="00E027A3">
        <w:rPr>
          <w:rFonts w:ascii="Times New Roman" w:hAnsi="Times New Roman" w:cs="Times New Roman"/>
          <w:sz w:val="28"/>
          <w:szCs w:val="28"/>
        </w:rPr>
        <w:t xml:space="preserve">компетентним органом або представником громадськості, </w:t>
      </w:r>
      <w:r w:rsidR="00E11410" w:rsidRPr="00E027A3">
        <w:rPr>
          <w:rFonts w:ascii="Times New Roman" w:hAnsi="Times New Roman" w:cs="Times New Roman"/>
          <w:sz w:val="28"/>
          <w:szCs w:val="28"/>
        </w:rPr>
        <w:t xml:space="preserve">надсилається до електронного кабінету </w:t>
      </w:r>
      <w:r w:rsidR="006F5177" w:rsidRPr="00E027A3">
        <w:rPr>
          <w:rFonts w:ascii="Times New Roman" w:hAnsi="Times New Roman" w:cs="Times New Roman"/>
          <w:sz w:val="28"/>
          <w:szCs w:val="28"/>
        </w:rPr>
        <w:t>відповідно</w:t>
      </w:r>
      <w:r w:rsidR="00512975" w:rsidRPr="00E027A3">
        <w:rPr>
          <w:rFonts w:ascii="Times New Roman" w:hAnsi="Times New Roman" w:cs="Times New Roman"/>
          <w:sz w:val="28"/>
          <w:szCs w:val="28"/>
        </w:rPr>
        <w:t>му</w:t>
      </w:r>
      <w:r w:rsidR="006F5177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E11410" w:rsidRPr="00FF7FE2">
        <w:rPr>
          <w:rFonts w:ascii="Times New Roman" w:hAnsi="Times New Roman" w:cs="Times New Roman"/>
          <w:sz w:val="28"/>
          <w:szCs w:val="28"/>
        </w:rPr>
        <w:t>користувач</w:t>
      </w:r>
      <w:r w:rsidR="00512975" w:rsidRPr="00FF7FE2">
        <w:rPr>
          <w:rFonts w:ascii="Times New Roman" w:hAnsi="Times New Roman" w:cs="Times New Roman"/>
          <w:sz w:val="28"/>
          <w:szCs w:val="28"/>
        </w:rPr>
        <w:t>у</w:t>
      </w:r>
      <w:r w:rsidR="00E11410" w:rsidRPr="00FF7FE2">
        <w:rPr>
          <w:rFonts w:ascii="Times New Roman" w:hAnsi="Times New Roman" w:cs="Times New Roman"/>
          <w:sz w:val="28"/>
          <w:szCs w:val="28"/>
        </w:rPr>
        <w:t xml:space="preserve"> Реєстр</w:t>
      </w:r>
      <w:r w:rsidR="00512975" w:rsidRPr="00FF7FE2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11410" w:rsidRPr="00E027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8A2FF8" w14:textId="77777777" w:rsidR="00771C08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4D9BBC" w14:textId="365BDBFC" w:rsidR="00866A59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</w:t>
      </w:r>
      <w:r w:rsidR="00C557F6">
        <w:rPr>
          <w:rFonts w:ascii="Times New Roman" w:hAnsi="Times New Roman" w:cs="Times New Roman"/>
          <w:sz w:val="28"/>
          <w:szCs w:val="28"/>
        </w:rPr>
        <w:t>4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866A59" w:rsidRPr="00E027A3">
        <w:rPr>
          <w:rFonts w:ascii="Times New Roman" w:hAnsi="Times New Roman" w:cs="Times New Roman"/>
          <w:sz w:val="28"/>
          <w:szCs w:val="28"/>
        </w:rPr>
        <w:t>Вільний доступ операторів установок, громадськості та інших заінтересованих сторін до інформації та документів у процесі видачі інтегрованого довкіллєвого дозволу</w:t>
      </w:r>
      <w:r w:rsidR="006609F4" w:rsidRPr="00E027A3">
        <w:rPr>
          <w:rFonts w:ascii="Times New Roman" w:hAnsi="Times New Roman" w:cs="Times New Roman"/>
          <w:sz w:val="28"/>
          <w:szCs w:val="28"/>
        </w:rPr>
        <w:t xml:space="preserve">, </w:t>
      </w:r>
      <w:r w:rsidR="00866A59" w:rsidRPr="00E027A3">
        <w:rPr>
          <w:rFonts w:ascii="Times New Roman" w:hAnsi="Times New Roman" w:cs="Times New Roman"/>
          <w:sz w:val="28"/>
          <w:szCs w:val="28"/>
        </w:rPr>
        <w:t>експлуатації установки, а також інш</w:t>
      </w:r>
      <w:r w:rsidR="00430C6C" w:rsidRPr="00E027A3">
        <w:rPr>
          <w:rFonts w:ascii="Times New Roman" w:hAnsi="Times New Roman" w:cs="Times New Roman"/>
          <w:sz w:val="28"/>
          <w:szCs w:val="28"/>
        </w:rPr>
        <w:t>ої</w:t>
      </w:r>
      <w:r w:rsidR="00866A59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430C6C" w:rsidRPr="00E027A3">
        <w:rPr>
          <w:rFonts w:ascii="Times New Roman" w:hAnsi="Times New Roman" w:cs="Times New Roman"/>
          <w:sz w:val="28"/>
          <w:szCs w:val="28"/>
        </w:rPr>
        <w:t>інформації</w:t>
      </w:r>
      <w:r w:rsidR="00866A59" w:rsidRPr="00E027A3">
        <w:rPr>
          <w:rFonts w:ascii="Times New Roman" w:hAnsi="Times New Roman" w:cs="Times New Roman"/>
          <w:sz w:val="28"/>
          <w:szCs w:val="28"/>
        </w:rPr>
        <w:t xml:space="preserve"> у сфері запобігання, зменшення та контролю промислового забру</w:t>
      </w:r>
      <w:r w:rsidR="00944BD0">
        <w:rPr>
          <w:rFonts w:ascii="Times New Roman" w:hAnsi="Times New Roman" w:cs="Times New Roman"/>
          <w:sz w:val="28"/>
          <w:szCs w:val="28"/>
        </w:rPr>
        <w:t>днення забезпечується через веб</w:t>
      </w:r>
      <w:r w:rsidR="00866A59" w:rsidRPr="00E027A3">
        <w:rPr>
          <w:rFonts w:ascii="Times New Roman" w:hAnsi="Times New Roman" w:cs="Times New Roman"/>
          <w:sz w:val="28"/>
          <w:szCs w:val="28"/>
        </w:rPr>
        <w:t>портал Реєстру.</w:t>
      </w:r>
    </w:p>
    <w:p w14:paraId="695F22B2" w14:textId="77777777" w:rsidR="00771C08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C04BC5" w14:textId="61953AEA" w:rsidR="00FF7FE2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FE2">
        <w:rPr>
          <w:rFonts w:ascii="Times New Roman" w:hAnsi="Times New Roman" w:cs="Times New Roman"/>
          <w:sz w:val="28"/>
          <w:szCs w:val="28"/>
        </w:rPr>
        <w:t>1</w:t>
      </w:r>
      <w:r w:rsidR="00C557F6">
        <w:rPr>
          <w:rFonts w:ascii="Times New Roman" w:hAnsi="Times New Roman" w:cs="Times New Roman"/>
          <w:sz w:val="28"/>
          <w:szCs w:val="28"/>
        </w:rPr>
        <w:t>5</w:t>
      </w:r>
      <w:r w:rsidRPr="00FF7FE2">
        <w:rPr>
          <w:rFonts w:ascii="Times New Roman" w:hAnsi="Times New Roman" w:cs="Times New Roman"/>
          <w:sz w:val="28"/>
          <w:szCs w:val="28"/>
        </w:rPr>
        <w:t>. </w:t>
      </w:r>
      <w:r w:rsidR="00FF7FE2">
        <w:rPr>
          <w:rFonts w:ascii="Times New Roman" w:hAnsi="Times New Roman" w:cs="Times New Roman"/>
          <w:sz w:val="28"/>
          <w:szCs w:val="28"/>
        </w:rPr>
        <w:t xml:space="preserve">Мовою ведення реєстру є державна (українська) мова. </w:t>
      </w:r>
    </w:p>
    <w:p w14:paraId="01C2EC32" w14:textId="77777777" w:rsidR="00771C08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3F92677" w14:textId="2A30CCC7" w:rsidR="00D560AE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</w:t>
      </w:r>
      <w:r w:rsidR="00C557F6">
        <w:rPr>
          <w:rFonts w:ascii="Times New Roman" w:hAnsi="Times New Roman" w:cs="Times New Roman"/>
          <w:sz w:val="28"/>
          <w:szCs w:val="28"/>
        </w:rPr>
        <w:t>6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Програмні засоби </w:t>
      </w:r>
      <w:r w:rsidR="00AA6F8F" w:rsidRPr="00E027A3">
        <w:rPr>
          <w:rFonts w:ascii="Times New Roman" w:hAnsi="Times New Roman" w:cs="Times New Roman"/>
          <w:sz w:val="28"/>
          <w:szCs w:val="28"/>
        </w:rPr>
        <w:t>Реєстру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 забезпечують неможливість виправлень вже внесеної інформації </w:t>
      </w:r>
      <w:r w:rsidR="006609F4" w:rsidRPr="00E027A3">
        <w:rPr>
          <w:rFonts w:ascii="Times New Roman" w:hAnsi="Times New Roman" w:cs="Times New Roman"/>
          <w:sz w:val="28"/>
          <w:szCs w:val="28"/>
        </w:rPr>
        <w:t>та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 документів. У разі необхідності внесення змін, виправлена інформація вноситься додатково. </w:t>
      </w:r>
    </w:p>
    <w:p w14:paraId="2DEBF25D" w14:textId="77777777" w:rsidR="00771C08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0EB63A" w14:textId="29B055E8" w:rsidR="00A73B23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</w:t>
      </w:r>
      <w:r w:rsidR="00C557F6">
        <w:rPr>
          <w:rFonts w:ascii="Times New Roman" w:hAnsi="Times New Roman" w:cs="Times New Roman"/>
          <w:sz w:val="28"/>
          <w:szCs w:val="28"/>
        </w:rPr>
        <w:t>7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Внесення до Реєстру </w:t>
      </w:r>
      <w:r w:rsidR="006609F4" w:rsidRPr="00E027A3">
        <w:rPr>
          <w:rFonts w:ascii="Times New Roman" w:hAnsi="Times New Roman" w:cs="Times New Roman"/>
          <w:sz w:val="28"/>
          <w:szCs w:val="28"/>
        </w:rPr>
        <w:t>з</w:t>
      </w:r>
      <w:r w:rsidR="00D560AE" w:rsidRPr="00E027A3">
        <w:rPr>
          <w:rFonts w:ascii="Times New Roman" w:hAnsi="Times New Roman" w:cs="Times New Roman"/>
          <w:sz w:val="28"/>
          <w:szCs w:val="28"/>
        </w:rPr>
        <w:t>аяви про отримання інтегрованого довкіллєвого дозволу (внесення змін до нього) супроводжується в</w:t>
      </w:r>
      <w:r w:rsidR="00EF2EBD" w:rsidRPr="00E027A3">
        <w:rPr>
          <w:rFonts w:ascii="Times New Roman" w:hAnsi="Times New Roman" w:cs="Times New Roman"/>
          <w:sz w:val="28"/>
          <w:szCs w:val="28"/>
        </w:rPr>
        <w:t>ідкриттям реєстраційної справи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 та присвоєнням їй реєстраційного номера. Усі наступні документи та інформація, що стосуються т</w:t>
      </w:r>
      <w:r w:rsidR="00E25302" w:rsidRPr="00E027A3">
        <w:rPr>
          <w:rFonts w:ascii="Times New Roman" w:hAnsi="Times New Roman" w:cs="Times New Roman"/>
          <w:sz w:val="28"/>
          <w:szCs w:val="28"/>
        </w:rPr>
        <w:t xml:space="preserve">ого 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 само</w:t>
      </w:r>
      <w:r w:rsidR="00E25302" w:rsidRPr="00E027A3">
        <w:rPr>
          <w:rFonts w:ascii="Times New Roman" w:hAnsi="Times New Roman" w:cs="Times New Roman"/>
          <w:sz w:val="28"/>
          <w:szCs w:val="28"/>
        </w:rPr>
        <w:t>го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E25302" w:rsidRPr="00E027A3">
        <w:rPr>
          <w:rFonts w:ascii="Times New Roman" w:hAnsi="Times New Roman" w:cs="Times New Roman"/>
          <w:sz w:val="28"/>
          <w:szCs w:val="28"/>
        </w:rPr>
        <w:t>інтегрованого довкіллєвого дозволу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, в тому числі, усі наступні заяви про отримання інтегрованого довкіллєвого дозволу (внесення змін до нього), та документи, що створюються в процесі </w:t>
      </w:r>
      <w:r w:rsidR="006609F4" w:rsidRPr="00E027A3">
        <w:rPr>
          <w:rFonts w:ascii="Times New Roman" w:hAnsi="Times New Roman" w:cs="Times New Roman"/>
          <w:sz w:val="28"/>
          <w:szCs w:val="28"/>
        </w:rPr>
        <w:t>експлуатації</w:t>
      </w:r>
      <w:r w:rsidR="00E25302" w:rsidRPr="00E027A3">
        <w:rPr>
          <w:rFonts w:ascii="Times New Roman" w:hAnsi="Times New Roman" w:cs="Times New Roman"/>
          <w:sz w:val="28"/>
          <w:szCs w:val="28"/>
        </w:rPr>
        <w:t xml:space="preserve"> установки на підставі цього дозволу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, вносяться до Реєстру та оприлюднюються за тим самим реєстраційним номером справи. </w:t>
      </w:r>
    </w:p>
    <w:p w14:paraId="38B52AAA" w14:textId="77777777" w:rsidR="006B5A9E" w:rsidRPr="00E027A3" w:rsidRDefault="006B5A9E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CD62D79" w14:textId="5D7C4E2E" w:rsidR="00D560AE" w:rsidRPr="00E027A3" w:rsidRDefault="00771C08" w:rsidP="00771C08">
      <w:pPr>
        <w:tabs>
          <w:tab w:val="left" w:pos="709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</w:t>
      </w:r>
      <w:r w:rsidR="00C557F6">
        <w:rPr>
          <w:rFonts w:ascii="Times New Roman" w:hAnsi="Times New Roman" w:cs="Times New Roman"/>
          <w:sz w:val="28"/>
          <w:szCs w:val="28"/>
        </w:rPr>
        <w:t>8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У реєстраційній справі зберігаються </w:t>
      </w:r>
      <w:r w:rsidR="008D150A" w:rsidRPr="00E027A3">
        <w:rPr>
          <w:rFonts w:ascii="Times New Roman" w:hAnsi="Times New Roman" w:cs="Times New Roman"/>
          <w:sz w:val="28"/>
          <w:szCs w:val="28"/>
        </w:rPr>
        <w:t>та оприлюднюють</w:t>
      </w:r>
      <w:r w:rsidR="006609F4" w:rsidRPr="00E027A3">
        <w:rPr>
          <w:rFonts w:ascii="Times New Roman" w:hAnsi="Times New Roman" w:cs="Times New Roman"/>
          <w:sz w:val="28"/>
          <w:szCs w:val="28"/>
        </w:rPr>
        <w:t>ся</w:t>
      </w:r>
      <w:r w:rsidR="00944BD0">
        <w:rPr>
          <w:rFonts w:ascii="Times New Roman" w:hAnsi="Times New Roman" w:cs="Times New Roman"/>
          <w:sz w:val="28"/>
          <w:szCs w:val="28"/>
        </w:rPr>
        <w:t xml:space="preserve"> на веб</w:t>
      </w:r>
      <w:r w:rsidR="008D150A" w:rsidRPr="00E027A3">
        <w:rPr>
          <w:rFonts w:ascii="Times New Roman" w:hAnsi="Times New Roman" w:cs="Times New Roman"/>
          <w:sz w:val="28"/>
          <w:szCs w:val="28"/>
        </w:rPr>
        <w:t>порталі Реєс</w:t>
      </w:r>
      <w:r w:rsidR="006609F4" w:rsidRPr="00E027A3">
        <w:rPr>
          <w:rFonts w:ascii="Times New Roman" w:hAnsi="Times New Roman" w:cs="Times New Roman"/>
          <w:sz w:val="28"/>
          <w:szCs w:val="28"/>
        </w:rPr>
        <w:t>т</w:t>
      </w:r>
      <w:r w:rsidR="008D150A" w:rsidRPr="00E027A3">
        <w:rPr>
          <w:rFonts w:ascii="Times New Roman" w:hAnsi="Times New Roman" w:cs="Times New Roman"/>
          <w:sz w:val="28"/>
          <w:szCs w:val="28"/>
        </w:rPr>
        <w:t xml:space="preserve">ру такі 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документи та інформація щодо </w:t>
      </w:r>
      <w:r w:rsidR="00A00353" w:rsidRPr="00E027A3">
        <w:rPr>
          <w:rFonts w:ascii="Times New Roman" w:hAnsi="Times New Roman" w:cs="Times New Roman"/>
          <w:sz w:val="28"/>
          <w:szCs w:val="28"/>
        </w:rPr>
        <w:t>інтегрованого довкіллєвого дозволу</w:t>
      </w:r>
      <w:r w:rsidR="00D560AE" w:rsidRPr="00E027A3">
        <w:rPr>
          <w:rFonts w:ascii="Times New Roman" w:hAnsi="Times New Roman" w:cs="Times New Roman"/>
          <w:sz w:val="28"/>
          <w:szCs w:val="28"/>
        </w:rPr>
        <w:t>:</w:t>
      </w:r>
    </w:p>
    <w:p w14:paraId="2F9B363A" w14:textId="4895F4B7" w:rsidR="00D560AE" w:rsidRPr="00E027A3" w:rsidRDefault="006B5A9E" w:rsidP="006B5A9E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1) </w:t>
      </w:r>
      <w:r w:rsidR="00D560AE" w:rsidRPr="00E027A3">
        <w:rPr>
          <w:rFonts w:ascii="Times New Roman" w:hAnsi="Times New Roman" w:cs="Times New Roman"/>
          <w:sz w:val="28"/>
          <w:szCs w:val="28"/>
        </w:rPr>
        <w:t>заява про отримання інтегрованого довкіллєвого дозволу (внесення змін до нього);</w:t>
      </w:r>
    </w:p>
    <w:p w14:paraId="707C1C8B" w14:textId="0D5478CF" w:rsidR="00D560AE" w:rsidRPr="00E027A3" w:rsidRDefault="006B5A9E" w:rsidP="006B5A9E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2) </w:t>
      </w:r>
      <w:r w:rsidR="00D560AE" w:rsidRPr="00E027A3">
        <w:rPr>
          <w:rFonts w:ascii="Times New Roman" w:hAnsi="Times New Roman" w:cs="Times New Roman"/>
          <w:sz w:val="28"/>
          <w:szCs w:val="28"/>
        </w:rPr>
        <w:t>заява про внесення змін до інтегрованого довкіллєвого дозволу за спрощеною процедурою;</w:t>
      </w:r>
    </w:p>
    <w:p w14:paraId="645FF9A7" w14:textId="137B868D" w:rsidR="00D560AE" w:rsidRPr="00E027A3" w:rsidRDefault="006B5A9E" w:rsidP="006B5A9E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3) </w:t>
      </w:r>
      <w:r w:rsidR="00D560AE" w:rsidRPr="00E027A3">
        <w:rPr>
          <w:rFonts w:ascii="Times New Roman" w:hAnsi="Times New Roman" w:cs="Times New Roman"/>
          <w:sz w:val="28"/>
          <w:szCs w:val="28"/>
        </w:rPr>
        <w:t>базовий звіт;</w:t>
      </w:r>
    </w:p>
    <w:p w14:paraId="50F970EE" w14:textId="784FE878" w:rsidR="00D560AE" w:rsidRPr="00E027A3" w:rsidRDefault="006B5A9E" w:rsidP="006B5A9E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4) </w:t>
      </w:r>
      <w:r w:rsidR="00D560AE" w:rsidRPr="00E027A3">
        <w:rPr>
          <w:rFonts w:ascii="Times New Roman" w:hAnsi="Times New Roman" w:cs="Times New Roman"/>
          <w:sz w:val="28"/>
          <w:szCs w:val="28"/>
        </w:rPr>
        <w:t>обґрунтування відступу та оцінка відступу;</w:t>
      </w:r>
    </w:p>
    <w:p w14:paraId="6FA96E66" w14:textId="29F9851A" w:rsidR="006274FE" w:rsidRPr="00E027A3" w:rsidRDefault="006B5A9E" w:rsidP="006B5A9E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5) </w:t>
      </w:r>
      <w:r w:rsidR="006274FE" w:rsidRPr="00E027A3">
        <w:rPr>
          <w:rFonts w:ascii="Times New Roman" w:hAnsi="Times New Roman" w:cs="Times New Roman"/>
          <w:sz w:val="28"/>
          <w:szCs w:val="28"/>
        </w:rPr>
        <w:t>результати оцінки впливу на довкілля;</w:t>
      </w:r>
    </w:p>
    <w:p w14:paraId="7C630DEC" w14:textId="23FD6C18" w:rsidR="00D560AE" w:rsidRPr="00E027A3" w:rsidRDefault="006B5A9E" w:rsidP="006B5A9E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6) 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перелік місць, в яких можна ознайомитися із </w:t>
      </w:r>
      <w:r w:rsidR="006C0680" w:rsidRPr="00E027A3">
        <w:rPr>
          <w:rFonts w:ascii="Times New Roman" w:hAnsi="Times New Roman" w:cs="Times New Roman"/>
          <w:sz w:val="28"/>
          <w:szCs w:val="28"/>
        </w:rPr>
        <w:t>заявою про отримання інтегрованого довкіллєвого дозволу (внесення змін до нього)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 під час громадського обговорення у процесі видачі інтегрованого довкіллєвого дозволу (внесення змін до нього), та їхні адреси, а також перелік територіальних громад із зазначенням адміністративно-територіальних одиниць, які можуть зазнати впливу внаслідок діяльності установки;</w:t>
      </w:r>
    </w:p>
    <w:p w14:paraId="7F1A2159" w14:textId="02D09917" w:rsidR="00D560AE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7) </w:t>
      </w:r>
      <w:r w:rsidR="00D560AE" w:rsidRPr="00E027A3">
        <w:rPr>
          <w:rFonts w:ascii="Times New Roman" w:hAnsi="Times New Roman" w:cs="Times New Roman"/>
          <w:sz w:val="28"/>
          <w:szCs w:val="28"/>
        </w:rPr>
        <w:t>додаткові документи та відомості, які обґрунтовують інформацію, що наводиться в заяві про отримання інтегрованого довкіллєвого дозволу (внесення змін до нього);</w:t>
      </w:r>
    </w:p>
    <w:p w14:paraId="287E54E3" w14:textId="12850CC7" w:rsidR="00D560AE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8) </w:t>
      </w:r>
      <w:r w:rsidR="00D560AE" w:rsidRPr="00E027A3">
        <w:rPr>
          <w:rFonts w:ascii="Times New Roman" w:hAnsi="Times New Roman" w:cs="Times New Roman"/>
          <w:sz w:val="28"/>
          <w:szCs w:val="28"/>
        </w:rPr>
        <w:t>рішення (висновок) про прийнятність заяви про отримання інтегрованого довкіллєвого дозволу (внесення змін до нього);</w:t>
      </w:r>
    </w:p>
    <w:p w14:paraId="118B3E31" w14:textId="47CC6908" w:rsidR="00D560AE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n352"/>
      <w:bookmarkEnd w:id="8"/>
      <w:r w:rsidRPr="00E027A3">
        <w:rPr>
          <w:rFonts w:ascii="Times New Roman" w:hAnsi="Times New Roman" w:cs="Times New Roman"/>
          <w:sz w:val="28"/>
          <w:szCs w:val="28"/>
        </w:rPr>
        <w:t>9) </w:t>
      </w:r>
      <w:r w:rsidR="00D560AE" w:rsidRPr="00E027A3">
        <w:rPr>
          <w:rFonts w:ascii="Times New Roman" w:hAnsi="Times New Roman" w:cs="Times New Roman"/>
          <w:sz w:val="28"/>
          <w:szCs w:val="28"/>
        </w:rPr>
        <w:t>рішення (висновок) про необхідність усунення недоліків і приведення заяви про отримання інтегрованого довкіллєвого дозволу (внесення змін до нього) та доданих до неї документів у відповідність з вимогами Закону;</w:t>
      </w:r>
    </w:p>
    <w:p w14:paraId="25DD9A58" w14:textId="4905EF22" w:rsidR="00D560AE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n353"/>
      <w:bookmarkEnd w:id="9"/>
      <w:r w:rsidRPr="00E027A3">
        <w:rPr>
          <w:rFonts w:ascii="Times New Roman" w:hAnsi="Times New Roman" w:cs="Times New Roman"/>
          <w:sz w:val="28"/>
          <w:szCs w:val="28"/>
        </w:rPr>
        <w:t>10) </w:t>
      </w:r>
      <w:r w:rsidR="00D560AE" w:rsidRPr="00E027A3">
        <w:rPr>
          <w:rFonts w:ascii="Times New Roman" w:hAnsi="Times New Roman" w:cs="Times New Roman"/>
          <w:sz w:val="28"/>
          <w:szCs w:val="28"/>
        </w:rPr>
        <w:t>рішення про визнання заяви про отримання інтегрованого довкіллєвого дозволу (внесення змін до нього) неподаною;</w:t>
      </w:r>
    </w:p>
    <w:p w14:paraId="4176F2D1" w14:textId="186EC9CC" w:rsidR="00D560AE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11) </w:t>
      </w:r>
      <w:r w:rsidR="00D560AE" w:rsidRPr="00E027A3">
        <w:rPr>
          <w:rFonts w:ascii="Times New Roman" w:hAnsi="Times New Roman" w:cs="Times New Roman"/>
          <w:sz w:val="28"/>
          <w:szCs w:val="28"/>
        </w:rPr>
        <w:t>оголошення про початок громадського обговорення у процесі видачі інтегрованого довкіллєвого дозволу (внесення змін до нього);</w:t>
      </w:r>
    </w:p>
    <w:p w14:paraId="0B4E1565" w14:textId="0C915BDF" w:rsidR="00D560AE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n355"/>
      <w:bookmarkEnd w:id="10"/>
      <w:r w:rsidRPr="00E027A3">
        <w:rPr>
          <w:rFonts w:ascii="Times New Roman" w:hAnsi="Times New Roman" w:cs="Times New Roman"/>
          <w:sz w:val="28"/>
          <w:szCs w:val="28"/>
        </w:rPr>
        <w:t>12) </w:t>
      </w:r>
      <w:r w:rsidR="00D560AE" w:rsidRPr="00E027A3">
        <w:rPr>
          <w:rFonts w:ascii="Times New Roman" w:hAnsi="Times New Roman" w:cs="Times New Roman"/>
          <w:sz w:val="28"/>
          <w:szCs w:val="28"/>
        </w:rPr>
        <w:t>документ, що підтверджує внесення плати за видачу інтегрованого довкіллєвого дозволу;</w:t>
      </w:r>
    </w:p>
    <w:p w14:paraId="4D977285" w14:textId="6C42A57E" w:rsidR="00D560AE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n356"/>
      <w:bookmarkEnd w:id="11"/>
      <w:r w:rsidRPr="00E027A3">
        <w:rPr>
          <w:rFonts w:ascii="Times New Roman" w:hAnsi="Times New Roman" w:cs="Times New Roman"/>
          <w:sz w:val="28"/>
          <w:szCs w:val="28"/>
        </w:rPr>
        <w:t>13) </w:t>
      </w:r>
      <w:r w:rsidR="00D560AE" w:rsidRPr="00E027A3">
        <w:rPr>
          <w:rFonts w:ascii="Times New Roman" w:hAnsi="Times New Roman" w:cs="Times New Roman"/>
          <w:sz w:val="28"/>
          <w:szCs w:val="28"/>
        </w:rPr>
        <w:t>відомості, що підтверджують факт та дату опублікування, розміщення або оприлюднення в інший спосіб оголошення про початок громадського обговорення у процесі видачі інтегрованого довкіллєвого дозволу (внесення змін до нього);</w:t>
      </w:r>
    </w:p>
    <w:p w14:paraId="02450CFF" w14:textId="40D83402" w:rsidR="000B0322" w:rsidRPr="00E027A3" w:rsidRDefault="00B00D84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5DD">
        <w:rPr>
          <w:rFonts w:ascii="Times New Roman" w:hAnsi="Times New Roman" w:cs="Times New Roman"/>
          <w:sz w:val="28"/>
          <w:szCs w:val="28"/>
        </w:rPr>
        <w:t>14) відомості про реєстрацію представників громадськості для участі у громадських слуханнях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bookmarkStart w:id="12" w:name="n357"/>
      <w:bookmarkEnd w:id="12"/>
      <w:r w:rsidR="003E10D3">
        <w:rPr>
          <w:rFonts w:ascii="Times New Roman" w:hAnsi="Times New Roman" w:cs="Times New Roman"/>
          <w:sz w:val="28"/>
          <w:szCs w:val="28"/>
        </w:rPr>
        <w:t>інформація</w:t>
      </w:r>
      <w:r w:rsidR="00F10D03" w:rsidRPr="00F74E7F">
        <w:rPr>
          <w:rFonts w:ascii="Times New Roman" w:hAnsi="Times New Roman" w:cs="Times New Roman"/>
          <w:sz w:val="28"/>
          <w:szCs w:val="28"/>
        </w:rPr>
        <w:t xml:space="preserve"> </w:t>
      </w:r>
      <w:r w:rsidR="005116A3" w:rsidRPr="00F74E7F">
        <w:rPr>
          <w:rFonts w:ascii="Times New Roman" w:hAnsi="Times New Roman" w:cs="Times New Roman"/>
          <w:sz w:val="28"/>
          <w:szCs w:val="28"/>
        </w:rPr>
        <w:t>Міндовкілля</w:t>
      </w:r>
      <w:r w:rsidR="00B95CFB">
        <w:rPr>
          <w:rFonts w:ascii="Times New Roman" w:hAnsi="Times New Roman" w:cs="Times New Roman"/>
          <w:sz w:val="28"/>
          <w:szCs w:val="28"/>
        </w:rPr>
        <w:t xml:space="preserve"> </w:t>
      </w:r>
      <w:r w:rsidR="00F10D03" w:rsidRPr="00F74E7F">
        <w:rPr>
          <w:rFonts w:ascii="Times New Roman" w:hAnsi="Times New Roman" w:cs="Times New Roman"/>
          <w:sz w:val="28"/>
          <w:szCs w:val="28"/>
        </w:rPr>
        <w:t>обласн</w:t>
      </w:r>
      <w:r w:rsidR="00B95CFB">
        <w:rPr>
          <w:rFonts w:ascii="Times New Roman" w:hAnsi="Times New Roman" w:cs="Times New Roman"/>
          <w:sz w:val="28"/>
          <w:szCs w:val="28"/>
        </w:rPr>
        <w:t>им, Київській та Севастопольській міським державним</w:t>
      </w:r>
      <w:r w:rsidR="00F10D03" w:rsidRPr="00F74E7F">
        <w:rPr>
          <w:rFonts w:ascii="Times New Roman" w:hAnsi="Times New Roman" w:cs="Times New Roman"/>
          <w:sz w:val="28"/>
          <w:szCs w:val="28"/>
        </w:rPr>
        <w:t xml:space="preserve"> адміністраці</w:t>
      </w:r>
      <w:r w:rsidR="00B95CFB">
        <w:rPr>
          <w:rFonts w:ascii="Times New Roman" w:hAnsi="Times New Roman" w:cs="Times New Roman"/>
          <w:sz w:val="28"/>
          <w:szCs w:val="28"/>
        </w:rPr>
        <w:t>ям</w:t>
      </w:r>
      <w:r w:rsidR="00F10D03" w:rsidRPr="00F74E7F">
        <w:rPr>
          <w:rFonts w:ascii="Times New Roman" w:hAnsi="Times New Roman" w:cs="Times New Roman"/>
          <w:sz w:val="28"/>
          <w:szCs w:val="28"/>
        </w:rPr>
        <w:t>, органу виконавчої влади Автономної Республіки Крим з питань екології та природних ресурсів про необхідність проведення громадських слухань</w:t>
      </w:r>
      <w:r w:rsidR="00D560AE" w:rsidRPr="00E027A3">
        <w:rPr>
          <w:rFonts w:ascii="Times New Roman" w:hAnsi="Times New Roman" w:cs="Times New Roman"/>
          <w:sz w:val="28"/>
          <w:szCs w:val="28"/>
        </w:rPr>
        <w:t>;</w:t>
      </w:r>
      <w:bookmarkStart w:id="13" w:name="n358"/>
      <w:bookmarkEnd w:id="13"/>
    </w:p>
    <w:p w14:paraId="10AE1733" w14:textId="394237AF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15) </w:t>
      </w:r>
      <w:r w:rsidR="00D560AE" w:rsidRPr="00E027A3">
        <w:rPr>
          <w:rFonts w:ascii="Times New Roman" w:hAnsi="Times New Roman" w:cs="Times New Roman"/>
          <w:sz w:val="28"/>
          <w:szCs w:val="28"/>
        </w:rPr>
        <w:t>інформація про час, дату, місце та адресу проведення громадських слухань;</w:t>
      </w:r>
    </w:p>
    <w:p w14:paraId="0A4F6357" w14:textId="4ABF96C3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16) </w:t>
      </w:r>
      <w:r w:rsidR="002C65FE" w:rsidRPr="00E027A3">
        <w:rPr>
          <w:rFonts w:ascii="Times New Roman" w:hAnsi="Times New Roman" w:cs="Times New Roman"/>
          <w:sz w:val="28"/>
          <w:szCs w:val="28"/>
        </w:rPr>
        <w:t>інформація про проведення повторних громадських слухань</w:t>
      </w:r>
      <w:r w:rsidR="000B0322" w:rsidRPr="00E027A3">
        <w:rPr>
          <w:rFonts w:ascii="Times New Roman" w:hAnsi="Times New Roman" w:cs="Times New Roman"/>
          <w:sz w:val="28"/>
          <w:szCs w:val="28"/>
        </w:rPr>
        <w:t>;</w:t>
      </w:r>
    </w:p>
    <w:p w14:paraId="2C64A06D" w14:textId="46BA07B9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17) </w:t>
      </w:r>
      <w:r w:rsidR="00D560AE" w:rsidRPr="00E027A3">
        <w:rPr>
          <w:rFonts w:ascii="Times New Roman" w:hAnsi="Times New Roman" w:cs="Times New Roman"/>
          <w:sz w:val="28"/>
          <w:szCs w:val="28"/>
        </w:rPr>
        <w:t>зауваження та пропозиції громадськості</w:t>
      </w:r>
      <w:r w:rsidR="009977B9" w:rsidRPr="00E027A3">
        <w:rPr>
          <w:rFonts w:ascii="Times New Roman" w:hAnsi="Times New Roman" w:cs="Times New Roman"/>
          <w:sz w:val="28"/>
          <w:szCs w:val="28"/>
        </w:rPr>
        <w:t>;</w:t>
      </w:r>
    </w:p>
    <w:p w14:paraId="6C5CAD85" w14:textId="2C45FB18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18) </w:t>
      </w:r>
      <w:r w:rsidR="00D560AE" w:rsidRPr="00E027A3">
        <w:rPr>
          <w:rFonts w:ascii="Times New Roman" w:hAnsi="Times New Roman" w:cs="Times New Roman"/>
          <w:sz w:val="28"/>
          <w:szCs w:val="28"/>
        </w:rPr>
        <w:t>протокол (протоколи) громадських слухань</w:t>
      </w:r>
      <w:r w:rsidR="008719BE">
        <w:rPr>
          <w:rFonts w:ascii="Times New Roman" w:hAnsi="Times New Roman" w:cs="Times New Roman"/>
          <w:sz w:val="28"/>
          <w:szCs w:val="28"/>
        </w:rPr>
        <w:t>, акт</w:t>
      </w:r>
      <w:r w:rsidR="002C65FE" w:rsidRPr="00E027A3">
        <w:rPr>
          <w:rFonts w:ascii="Times New Roman" w:hAnsi="Times New Roman" w:cs="Times New Roman"/>
          <w:sz w:val="28"/>
          <w:szCs w:val="28"/>
        </w:rPr>
        <w:t xml:space="preserve"> про неявку представників громадськості, акт про неявку представника оператора установки</w:t>
      </w:r>
      <w:r w:rsidR="00D560AE" w:rsidRPr="00E027A3">
        <w:rPr>
          <w:rFonts w:ascii="Times New Roman" w:hAnsi="Times New Roman" w:cs="Times New Roman"/>
          <w:sz w:val="28"/>
          <w:szCs w:val="28"/>
        </w:rPr>
        <w:t>;</w:t>
      </w:r>
    </w:p>
    <w:p w14:paraId="1B1315FB" w14:textId="59AE6760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19) </w:t>
      </w:r>
      <w:r w:rsidR="00D560AE" w:rsidRPr="00E027A3">
        <w:rPr>
          <w:rFonts w:ascii="Times New Roman" w:hAnsi="Times New Roman" w:cs="Times New Roman"/>
          <w:sz w:val="28"/>
          <w:szCs w:val="28"/>
        </w:rPr>
        <w:t>висновки та пропозиції компетентних органів, зауваження та пропозиції інших органів виконавчої влади, органів місцевого самоврядування</w:t>
      </w:r>
      <w:r w:rsidR="006274FE" w:rsidRPr="00E027A3">
        <w:rPr>
          <w:rFonts w:ascii="Times New Roman" w:hAnsi="Times New Roman" w:cs="Times New Roman"/>
          <w:sz w:val="28"/>
          <w:szCs w:val="28"/>
        </w:rPr>
        <w:t>,</w:t>
      </w:r>
      <w:r w:rsidR="006274FE" w:rsidRPr="00E027A3">
        <w:rPr>
          <w:rFonts w:ascii="Times New Roman" w:hAnsi="Times New Roman" w:cs="Times New Roman"/>
          <w:sz w:val="28"/>
          <w:szCs w:val="28"/>
          <w:shd w:val="clear" w:color="auto" w:fill="FFFFE2"/>
        </w:rPr>
        <w:t xml:space="preserve"> </w:t>
      </w:r>
      <w:r w:rsidR="006274FE" w:rsidRPr="00E027A3">
        <w:rPr>
          <w:rFonts w:ascii="Times New Roman" w:hAnsi="Times New Roman" w:cs="Times New Roman"/>
          <w:sz w:val="28"/>
          <w:szCs w:val="28"/>
        </w:rPr>
        <w:t xml:space="preserve">подані згідно з </w:t>
      </w:r>
      <w:hyperlink r:id="rId15" w:anchor="n116" w:history="1">
        <w:r w:rsidR="006274FE" w:rsidRPr="00E027A3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частиною третьою</w:t>
        </w:r>
      </w:hyperlink>
      <w:r w:rsidR="006274FE" w:rsidRPr="00E027A3">
        <w:rPr>
          <w:rFonts w:ascii="Times New Roman" w:hAnsi="Times New Roman" w:cs="Times New Roman"/>
          <w:sz w:val="28"/>
          <w:szCs w:val="28"/>
        </w:rPr>
        <w:t xml:space="preserve"> статті 7 Закону; </w:t>
      </w:r>
    </w:p>
    <w:p w14:paraId="77ACF35B" w14:textId="35EB6B6A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20) </w:t>
      </w:r>
      <w:r w:rsidR="009977B9" w:rsidRPr="00E027A3">
        <w:rPr>
          <w:rFonts w:ascii="Times New Roman" w:hAnsi="Times New Roman" w:cs="Times New Roman"/>
          <w:sz w:val="28"/>
          <w:szCs w:val="28"/>
        </w:rPr>
        <w:t>рішення про проведення транскордонних консультацій;</w:t>
      </w:r>
    </w:p>
    <w:p w14:paraId="24F1A722" w14:textId="69452DED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21) </w:t>
      </w:r>
      <w:r w:rsidR="009977B9" w:rsidRPr="00E027A3">
        <w:rPr>
          <w:rFonts w:ascii="Times New Roman" w:hAnsi="Times New Roman" w:cs="Times New Roman"/>
          <w:sz w:val="28"/>
          <w:szCs w:val="28"/>
        </w:rPr>
        <w:t>рішення про завершення процедури транскордонних консультацій;</w:t>
      </w:r>
    </w:p>
    <w:p w14:paraId="3C0D73C5" w14:textId="503F0223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22) </w:t>
      </w:r>
      <w:r w:rsidR="00D560AE" w:rsidRPr="00E027A3">
        <w:rPr>
          <w:rFonts w:ascii="Times New Roman" w:hAnsi="Times New Roman" w:cs="Times New Roman"/>
          <w:sz w:val="28"/>
          <w:szCs w:val="28"/>
        </w:rPr>
        <w:t>вимога оператора установки про проведення узгоджувальної наради;</w:t>
      </w:r>
      <w:bookmarkStart w:id="14" w:name="n363"/>
      <w:bookmarkEnd w:id="14"/>
    </w:p>
    <w:p w14:paraId="2DFBFE62" w14:textId="4AA7D746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23) </w:t>
      </w:r>
      <w:r w:rsidR="00D560AE" w:rsidRPr="00E027A3">
        <w:rPr>
          <w:rFonts w:ascii="Times New Roman" w:hAnsi="Times New Roman" w:cs="Times New Roman"/>
          <w:sz w:val="28"/>
          <w:szCs w:val="28"/>
        </w:rPr>
        <w:t>повідомлення про скликання узгоджувальної наради;</w:t>
      </w:r>
    </w:p>
    <w:p w14:paraId="4F6729C7" w14:textId="5B6EC787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24) </w:t>
      </w:r>
      <w:r w:rsidR="009977B9" w:rsidRPr="00E027A3">
        <w:rPr>
          <w:rFonts w:ascii="Times New Roman" w:hAnsi="Times New Roman" w:cs="Times New Roman"/>
          <w:sz w:val="28"/>
          <w:szCs w:val="28"/>
        </w:rPr>
        <w:t>проект інтегрованого довкіллєвого дозволу;</w:t>
      </w:r>
    </w:p>
    <w:p w14:paraId="2D91B3E9" w14:textId="1616F9B6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25) </w:t>
      </w:r>
      <w:r w:rsidR="00D560AE" w:rsidRPr="00E027A3">
        <w:rPr>
          <w:rFonts w:ascii="Times New Roman" w:hAnsi="Times New Roman" w:cs="Times New Roman"/>
          <w:sz w:val="28"/>
          <w:szCs w:val="28"/>
        </w:rPr>
        <w:t>протокол (протоколи) узгоджувальної наради;</w:t>
      </w:r>
      <w:bookmarkStart w:id="15" w:name="n364"/>
      <w:bookmarkEnd w:id="15"/>
    </w:p>
    <w:p w14:paraId="3E79FB58" w14:textId="642002F0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26) </w:t>
      </w:r>
      <w:r w:rsidR="00D560AE" w:rsidRPr="00E027A3">
        <w:rPr>
          <w:rFonts w:ascii="Times New Roman" w:hAnsi="Times New Roman" w:cs="Times New Roman"/>
          <w:sz w:val="28"/>
          <w:szCs w:val="28"/>
        </w:rPr>
        <w:t>згода оператора установки з умовами інтегрованого довкіллєвого дозволу;</w:t>
      </w:r>
      <w:bookmarkStart w:id="16" w:name="n365"/>
      <w:bookmarkEnd w:id="16"/>
    </w:p>
    <w:p w14:paraId="1806CB29" w14:textId="33CA38CF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27) </w:t>
      </w:r>
      <w:r w:rsidR="00D560AE" w:rsidRPr="00E027A3">
        <w:rPr>
          <w:rFonts w:ascii="Times New Roman" w:hAnsi="Times New Roman" w:cs="Times New Roman"/>
          <w:sz w:val="28"/>
          <w:szCs w:val="28"/>
        </w:rPr>
        <w:t>інтегрований довкіллєвий дозвіл з усіма наступними змінами, у тому числі в результаті перегляду та оновлення його умов;</w:t>
      </w:r>
      <w:bookmarkStart w:id="17" w:name="n366"/>
      <w:bookmarkEnd w:id="17"/>
    </w:p>
    <w:p w14:paraId="25238F8C" w14:textId="5C3E2CC0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28) </w:t>
      </w:r>
      <w:r w:rsidR="00D560AE" w:rsidRPr="00E027A3">
        <w:rPr>
          <w:rFonts w:ascii="Times New Roman" w:hAnsi="Times New Roman" w:cs="Times New Roman"/>
          <w:sz w:val="28"/>
          <w:szCs w:val="28"/>
        </w:rPr>
        <w:t>рішення про відмову у видачі інтегрованого довкіллєвого дозволу (внесенні змін до нього);</w:t>
      </w:r>
      <w:bookmarkStart w:id="18" w:name="n367"/>
      <w:bookmarkEnd w:id="18"/>
    </w:p>
    <w:p w14:paraId="7BEEBCCC" w14:textId="1E4EC78B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29) </w:t>
      </w:r>
      <w:r w:rsidR="00D560AE" w:rsidRPr="00E027A3">
        <w:rPr>
          <w:rFonts w:ascii="Times New Roman" w:hAnsi="Times New Roman" w:cs="Times New Roman"/>
          <w:sz w:val="28"/>
          <w:szCs w:val="28"/>
        </w:rPr>
        <w:t>звіт про громадське обговорення;</w:t>
      </w:r>
      <w:bookmarkStart w:id="19" w:name="n368"/>
      <w:bookmarkEnd w:id="19"/>
    </w:p>
    <w:p w14:paraId="2F02BDAC" w14:textId="7D25A0E3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30) </w:t>
      </w:r>
      <w:r w:rsidR="00D560AE" w:rsidRPr="00E027A3">
        <w:rPr>
          <w:rFonts w:ascii="Times New Roman" w:hAnsi="Times New Roman" w:cs="Times New Roman"/>
          <w:sz w:val="28"/>
          <w:szCs w:val="28"/>
        </w:rPr>
        <w:t>рішення (вимога) про необхідність оновлення умов інтегрованого довкіллєвого дозволу;</w:t>
      </w:r>
      <w:bookmarkStart w:id="20" w:name="n369"/>
      <w:bookmarkEnd w:id="20"/>
    </w:p>
    <w:p w14:paraId="3A41C644" w14:textId="267D2098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31) </w:t>
      </w:r>
      <w:r w:rsidR="00D560AE" w:rsidRPr="00E027A3">
        <w:rPr>
          <w:rFonts w:ascii="Times New Roman" w:hAnsi="Times New Roman" w:cs="Times New Roman"/>
          <w:sz w:val="28"/>
          <w:szCs w:val="28"/>
        </w:rPr>
        <w:t>рішення про початок адміністративного провадження з відкликання інтегрованого довкіллєвого дозволу;</w:t>
      </w:r>
      <w:bookmarkStart w:id="21" w:name="n370"/>
      <w:bookmarkEnd w:id="21"/>
    </w:p>
    <w:p w14:paraId="39C8D43B" w14:textId="14C783DC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32) </w:t>
      </w:r>
      <w:r w:rsidR="00D560AE" w:rsidRPr="00E027A3">
        <w:rPr>
          <w:rFonts w:ascii="Times New Roman" w:hAnsi="Times New Roman" w:cs="Times New Roman"/>
          <w:sz w:val="28"/>
          <w:szCs w:val="28"/>
        </w:rPr>
        <w:t>рішення про відкликання інтегрованого довкіллєвого дозволу;</w:t>
      </w:r>
      <w:bookmarkStart w:id="22" w:name="n371"/>
      <w:bookmarkEnd w:id="22"/>
    </w:p>
    <w:p w14:paraId="153FCB1F" w14:textId="6A690C04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33) </w:t>
      </w:r>
      <w:r w:rsidR="00D560AE" w:rsidRPr="00E027A3">
        <w:rPr>
          <w:rFonts w:ascii="Times New Roman" w:hAnsi="Times New Roman" w:cs="Times New Roman"/>
          <w:sz w:val="28"/>
          <w:szCs w:val="28"/>
        </w:rPr>
        <w:t>рішення про закриття адміністративного провадження з відкликання інтегрованого довкіллєвого дозволу;</w:t>
      </w:r>
      <w:bookmarkStart w:id="23" w:name="n372"/>
      <w:bookmarkEnd w:id="23"/>
    </w:p>
    <w:p w14:paraId="69BC0D0F" w14:textId="2FCE4BF5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34) </w:t>
      </w:r>
      <w:r w:rsidR="00D560AE" w:rsidRPr="00E027A3">
        <w:rPr>
          <w:rFonts w:ascii="Times New Roman" w:hAnsi="Times New Roman" w:cs="Times New Roman"/>
          <w:sz w:val="28"/>
          <w:szCs w:val="28"/>
        </w:rPr>
        <w:t>документи, складені контролюючим органом за результатами перевірки установки;</w:t>
      </w:r>
      <w:bookmarkStart w:id="24" w:name="n373"/>
      <w:bookmarkEnd w:id="24"/>
    </w:p>
    <w:p w14:paraId="3CAE36C5" w14:textId="5803093F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35) </w:t>
      </w:r>
      <w:r w:rsidR="00D560AE" w:rsidRPr="00E027A3">
        <w:rPr>
          <w:rFonts w:ascii="Times New Roman" w:hAnsi="Times New Roman" w:cs="Times New Roman"/>
          <w:sz w:val="28"/>
          <w:szCs w:val="28"/>
        </w:rPr>
        <w:t>звіти оператора установки про дотримання умов інтегрованого довкіллєвого дозволу;</w:t>
      </w:r>
      <w:bookmarkStart w:id="25" w:name="n374"/>
      <w:bookmarkEnd w:id="25"/>
    </w:p>
    <w:p w14:paraId="3AA6C956" w14:textId="0B4F85CA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36) </w:t>
      </w:r>
      <w:r w:rsidR="00D560AE" w:rsidRPr="00E027A3">
        <w:rPr>
          <w:rFonts w:ascii="Times New Roman" w:hAnsi="Times New Roman" w:cs="Times New Roman"/>
          <w:sz w:val="28"/>
          <w:szCs w:val="28"/>
        </w:rPr>
        <w:t>оцінка стану забруднення земель та підземних вод небезпечними речовинами, що використовуються, виробляються або вивільняються установкою або утвор</w:t>
      </w:r>
      <w:r w:rsidR="004A0FC9" w:rsidRPr="00E027A3">
        <w:rPr>
          <w:rFonts w:ascii="Times New Roman" w:hAnsi="Times New Roman" w:cs="Times New Roman"/>
          <w:sz w:val="28"/>
          <w:szCs w:val="28"/>
        </w:rPr>
        <w:t>юються внаслідок її діяльності</w:t>
      </w:r>
      <w:r w:rsidR="00FD6791" w:rsidRPr="00E027A3">
        <w:rPr>
          <w:rFonts w:ascii="Times New Roman" w:hAnsi="Times New Roman" w:cs="Times New Roman"/>
          <w:sz w:val="28"/>
          <w:szCs w:val="28"/>
        </w:rPr>
        <w:t>;</w:t>
      </w:r>
    </w:p>
    <w:p w14:paraId="411E1CB9" w14:textId="5A96738C" w:rsidR="000B0322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37) </w:t>
      </w:r>
      <w:r w:rsidR="00263846" w:rsidRPr="00E027A3">
        <w:rPr>
          <w:rFonts w:ascii="Times New Roman" w:hAnsi="Times New Roman" w:cs="Times New Roman"/>
          <w:sz w:val="28"/>
          <w:szCs w:val="28"/>
        </w:rPr>
        <w:t>рішенн</w:t>
      </w:r>
      <w:r w:rsidR="00652E85" w:rsidRPr="00E027A3">
        <w:rPr>
          <w:rFonts w:ascii="Times New Roman" w:hAnsi="Times New Roman" w:cs="Times New Roman"/>
          <w:sz w:val="28"/>
          <w:szCs w:val="28"/>
        </w:rPr>
        <w:t>я</w:t>
      </w:r>
      <w:r w:rsidR="00263846" w:rsidRPr="00E027A3">
        <w:rPr>
          <w:rFonts w:ascii="Times New Roman" w:hAnsi="Times New Roman" w:cs="Times New Roman"/>
          <w:sz w:val="28"/>
          <w:szCs w:val="28"/>
        </w:rPr>
        <w:t xml:space="preserve"> про визнання інтегрованого довкіллєвого дозволу недійсним</w:t>
      </w:r>
      <w:r w:rsidR="00FD6791" w:rsidRPr="00E027A3">
        <w:rPr>
          <w:rFonts w:ascii="Times New Roman" w:hAnsi="Times New Roman" w:cs="Times New Roman"/>
          <w:sz w:val="28"/>
          <w:szCs w:val="28"/>
        </w:rPr>
        <w:t>;</w:t>
      </w:r>
    </w:p>
    <w:p w14:paraId="4188656C" w14:textId="0A615510" w:rsidR="001B2C6A" w:rsidRPr="00E027A3" w:rsidRDefault="00337A11" w:rsidP="00337A11">
      <w:pPr>
        <w:pStyle w:val="a8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38) </w:t>
      </w:r>
      <w:r w:rsidR="00263846" w:rsidRPr="00E027A3">
        <w:rPr>
          <w:rFonts w:ascii="Times New Roman" w:hAnsi="Times New Roman" w:cs="Times New Roman"/>
          <w:sz w:val="28"/>
          <w:szCs w:val="28"/>
        </w:rPr>
        <w:t>рішенн</w:t>
      </w:r>
      <w:r w:rsidR="00652E85" w:rsidRPr="00E027A3">
        <w:rPr>
          <w:rFonts w:ascii="Times New Roman" w:hAnsi="Times New Roman" w:cs="Times New Roman"/>
          <w:sz w:val="28"/>
          <w:szCs w:val="28"/>
        </w:rPr>
        <w:t>я</w:t>
      </w:r>
      <w:r w:rsidR="00263846" w:rsidRPr="00E027A3">
        <w:rPr>
          <w:rFonts w:ascii="Times New Roman" w:hAnsi="Times New Roman" w:cs="Times New Roman"/>
          <w:sz w:val="28"/>
          <w:szCs w:val="28"/>
        </w:rPr>
        <w:t xml:space="preserve"> про скасування інтегрованого довкіллєвого дозволу</w:t>
      </w:r>
      <w:r w:rsidR="001B2C6A" w:rsidRPr="00E027A3">
        <w:rPr>
          <w:rFonts w:ascii="Times New Roman" w:hAnsi="Times New Roman" w:cs="Times New Roman"/>
          <w:sz w:val="28"/>
          <w:szCs w:val="28"/>
        </w:rPr>
        <w:t>.</w:t>
      </w:r>
    </w:p>
    <w:p w14:paraId="4DF0CE44" w14:textId="77777777" w:rsidR="008D150A" w:rsidRPr="00E027A3" w:rsidRDefault="008D150A" w:rsidP="00337A11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D3DFB27" w14:textId="3FF01D08" w:rsidR="00E87533" w:rsidRPr="00E027A3" w:rsidRDefault="00C557F6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E63B28" w:rsidRPr="00E027A3">
        <w:rPr>
          <w:rFonts w:ascii="Times New Roman" w:hAnsi="Times New Roman" w:cs="Times New Roman"/>
          <w:sz w:val="28"/>
          <w:szCs w:val="28"/>
        </w:rPr>
        <w:t>. </w:t>
      </w:r>
      <w:r w:rsidR="00D560AE" w:rsidRPr="00E027A3">
        <w:rPr>
          <w:rFonts w:ascii="Times New Roman" w:hAnsi="Times New Roman" w:cs="Times New Roman"/>
          <w:sz w:val="28"/>
          <w:szCs w:val="28"/>
        </w:rPr>
        <w:t xml:space="preserve">З метою забезпечення цілісності електронних документів </w:t>
      </w:r>
      <w:r w:rsidR="00FF0C37" w:rsidRPr="00E027A3">
        <w:rPr>
          <w:rFonts w:ascii="Times New Roman" w:hAnsi="Times New Roman" w:cs="Times New Roman"/>
          <w:sz w:val="28"/>
          <w:szCs w:val="28"/>
        </w:rPr>
        <w:t xml:space="preserve">інформація та </w:t>
      </w:r>
      <w:r w:rsidR="00DF657C">
        <w:rPr>
          <w:rFonts w:ascii="Times New Roman" w:hAnsi="Times New Roman" w:cs="Times New Roman"/>
          <w:sz w:val="28"/>
          <w:szCs w:val="28"/>
        </w:rPr>
        <w:t xml:space="preserve">документи </w:t>
      </w:r>
      <w:r w:rsidR="00D560AE" w:rsidRPr="00E027A3">
        <w:rPr>
          <w:rFonts w:ascii="Times New Roman" w:hAnsi="Times New Roman" w:cs="Times New Roman"/>
          <w:sz w:val="28"/>
          <w:szCs w:val="28"/>
        </w:rPr>
        <w:t>внос</w:t>
      </w:r>
      <w:r w:rsidR="00DF657C">
        <w:rPr>
          <w:rFonts w:ascii="Times New Roman" w:hAnsi="Times New Roman" w:cs="Times New Roman"/>
          <w:sz w:val="28"/>
          <w:szCs w:val="28"/>
        </w:rPr>
        <w:t>яться через електронний кабінет</w:t>
      </w:r>
      <w:r w:rsidR="00474C37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DF657C">
        <w:rPr>
          <w:rFonts w:ascii="Times New Roman" w:hAnsi="Times New Roman" w:cs="Times New Roman"/>
          <w:sz w:val="28"/>
          <w:szCs w:val="28"/>
        </w:rPr>
        <w:t xml:space="preserve">з </w:t>
      </w:r>
      <w:r w:rsidR="00E87533" w:rsidRPr="00E027A3">
        <w:rPr>
          <w:rFonts w:ascii="Times New Roman" w:hAnsi="Times New Roman" w:cs="Times New Roman"/>
          <w:sz w:val="28"/>
          <w:szCs w:val="28"/>
        </w:rPr>
        <w:t>урахуванням таких вимог:</w:t>
      </w:r>
    </w:p>
    <w:p w14:paraId="7DD8EE1E" w14:textId="15A4057E" w:rsidR="00E87533" w:rsidRPr="00E027A3" w:rsidRDefault="00E87533" w:rsidP="00E63B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6" w:name="n53"/>
      <w:bookmarkEnd w:id="26"/>
      <w:r w:rsidRPr="00E027A3">
        <w:rPr>
          <w:rFonts w:ascii="Times New Roman" w:hAnsi="Times New Roman" w:cs="Times New Roman"/>
          <w:sz w:val="28"/>
          <w:szCs w:val="28"/>
        </w:rPr>
        <w:t>скановані копії (фотокопії) документів, що додаються, повинні відповідати вимогам, встановленим</w:t>
      </w:r>
      <w:r w:rsidR="00FF0C37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Pr="00E027A3">
        <w:rPr>
          <w:rFonts w:ascii="Times New Roman" w:hAnsi="Times New Roman" w:cs="Times New Roman"/>
          <w:sz w:val="28"/>
          <w:szCs w:val="28"/>
        </w:rPr>
        <w:t>Законом</w:t>
      </w:r>
      <w:r w:rsidR="00FF0C37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Pr="00E027A3">
        <w:rPr>
          <w:rFonts w:ascii="Times New Roman" w:hAnsi="Times New Roman" w:cs="Times New Roman"/>
          <w:sz w:val="28"/>
          <w:szCs w:val="28"/>
        </w:rPr>
        <w:t>України</w:t>
      </w:r>
      <w:r w:rsidR="00FF0C37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4104AB" w:rsidRPr="00E027A3">
        <w:rPr>
          <w:rFonts w:ascii="Times New Roman" w:hAnsi="Times New Roman" w:cs="Times New Roman"/>
          <w:sz w:val="28"/>
          <w:szCs w:val="28"/>
        </w:rPr>
        <w:t>«</w:t>
      </w:r>
      <w:r w:rsidRPr="00E027A3">
        <w:rPr>
          <w:rFonts w:ascii="Times New Roman" w:hAnsi="Times New Roman" w:cs="Times New Roman"/>
          <w:sz w:val="28"/>
          <w:szCs w:val="28"/>
        </w:rPr>
        <w:t>Про електронні документи та електронний документообіг</w:t>
      </w:r>
      <w:r w:rsidR="004104AB" w:rsidRPr="00E027A3">
        <w:rPr>
          <w:rFonts w:ascii="Times New Roman" w:hAnsi="Times New Roman" w:cs="Times New Roman"/>
          <w:sz w:val="28"/>
          <w:szCs w:val="28"/>
        </w:rPr>
        <w:t>»</w:t>
      </w:r>
      <w:r w:rsidRPr="00E027A3">
        <w:rPr>
          <w:rFonts w:ascii="Times New Roman" w:hAnsi="Times New Roman" w:cs="Times New Roman"/>
          <w:sz w:val="28"/>
          <w:szCs w:val="28"/>
        </w:rPr>
        <w:t>;</w:t>
      </w:r>
    </w:p>
    <w:p w14:paraId="0633E4C5" w14:textId="60204157" w:rsidR="00E87533" w:rsidRPr="00E027A3" w:rsidRDefault="00E87533" w:rsidP="00E63B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7" w:name="n54"/>
      <w:bookmarkEnd w:id="27"/>
      <w:r w:rsidRPr="00E027A3">
        <w:rPr>
          <w:rFonts w:ascii="Times New Roman" w:hAnsi="Times New Roman" w:cs="Times New Roman"/>
          <w:sz w:val="28"/>
          <w:szCs w:val="28"/>
        </w:rPr>
        <w:t>кольорові скановані копії (фотокопії) документів повинні бути чіткими та повнорозмірними (без обрізань будь-яких сторін документів, зокрема прізвища та підпису підписанта, печатки, номера);</w:t>
      </w:r>
    </w:p>
    <w:p w14:paraId="0FDC1463" w14:textId="41C8D231" w:rsidR="00E87533" w:rsidRPr="00E027A3" w:rsidRDefault="00E87533" w:rsidP="00E63B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8" w:name="n55"/>
      <w:bookmarkEnd w:id="28"/>
      <w:r w:rsidRPr="00E027A3">
        <w:rPr>
          <w:rFonts w:ascii="Times New Roman" w:hAnsi="Times New Roman" w:cs="Times New Roman"/>
          <w:sz w:val="28"/>
          <w:szCs w:val="28"/>
        </w:rPr>
        <w:t>будь-який текст на всіх сканованих копіях (фотокопіях) документів повинен бути розбірливим;</w:t>
      </w:r>
    </w:p>
    <w:p w14:paraId="0906E3FF" w14:textId="09E4D66F" w:rsidR="00D560AE" w:rsidRPr="00E027A3" w:rsidRDefault="00E87533" w:rsidP="00E63B2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9" w:name="n56"/>
      <w:bookmarkEnd w:id="29"/>
      <w:r w:rsidRPr="00E027A3">
        <w:rPr>
          <w:rFonts w:ascii="Times New Roman" w:hAnsi="Times New Roman" w:cs="Times New Roman"/>
          <w:sz w:val="28"/>
          <w:szCs w:val="28"/>
        </w:rPr>
        <w:t>скановані копії (фотокопії) документів, що містять більше однієї сторінки, скануються в один файл. У разі перевищення допустимого для завантаження розміру файла такий файл розділяється на кілька файлів без пропущення сторінок та із збереженням їх послідовності відповідно до оригіналу документа.</w:t>
      </w:r>
    </w:p>
    <w:p w14:paraId="0547B906" w14:textId="702B6CB2" w:rsidR="00D560AE" w:rsidRPr="00E027A3" w:rsidRDefault="00E63B28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0" w:name="n36"/>
      <w:bookmarkEnd w:id="30"/>
      <w:r w:rsidRPr="00E027A3">
        <w:rPr>
          <w:rFonts w:ascii="Times New Roman" w:hAnsi="Times New Roman" w:cs="Times New Roman"/>
          <w:sz w:val="28"/>
          <w:szCs w:val="28"/>
        </w:rPr>
        <w:t>2</w:t>
      </w:r>
      <w:r w:rsidR="00C557F6">
        <w:rPr>
          <w:rFonts w:ascii="Times New Roman" w:hAnsi="Times New Roman" w:cs="Times New Roman"/>
          <w:sz w:val="28"/>
          <w:szCs w:val="28"/>
        </w:rPr>
        <w:t>0</w:t>
      </w:r>
      <w:r w:rsidR="008D0336">
        <w:rPr>
          <w:rFonts w:ascii="Times New Roman" w:hAnsi="Times New Roman" w:cs="Times New Roman"/>
          <w:sz w:val="28"/>
          <w:szCs w:val="28"/>
        </w:rPr>
        <w:t>.</w:t>
      </w:r>
      <w:r w:rsidRPr="00E027A3">
        <w:rPr>
          <w:rFonts w:ascii="Times New Roman" w:hAnsi="Times New Roman" w:cs="Times New Roman"/>
          <w:sz w:val="28"/>
          <w:szCs w:val="28"/>
        </w:rPr>
        <w:t> </w:t>
      </w:r>
      <w:r w:rsidR="00286470" w:rsidRPr="00E027A3">
        <w:rPr>
          <w:rFonts w:ascii="Times New Roman" w:hAnsi="Times New Roman" w:cs="Times New Roman"/>
          <w:sz w:val="28"/>
          <w:szCs w:val="28"/>
        </w:rPr>
        <w:t>До</w:t>
      </w:r>
      <w:r w:rsidR="003A7BA1" w:rsidRPr="00E027A3">
        <w:rPr>
          <w:rFonts w:ascii="Times New Roman" w:hAnsi="Times New Roman" w:cs="Times New Roman"/>
          <w:sz w:val="28"/>
          <w:szCs w:val="28"/>
        </w:rPr>
        <w:t xml:space="preserve"> заяв</w:t>
      </w:r>
      <w:r w:rsidR="00286470" w:rsidRPr="00E027A3">
        <w:rPr>
          <w:rFonts w:ascii="Times New Roman" w:hAnsi="Times New Roman" w:cs="Times New Roman"/>
          <w:sz w:val="28"/>
          <w:szCs w:val="28"/>
        </w:rPr>
        <w:t>и</w:t>
      </w:r>
      <w:r w:rsidR="003A7BA1" w:rsidRPr="00E027A3">
        <w:rPr>
          <w:rFonts w:ascii="Times New Roman" w:hAnsi="Times New Roman" w:cs="Times New Roman"/>
          <w:sz w:val="28"/>
          <w:szCs w:val="28"/>
        </w:rPr>
        <w:t xml:space="preserve"> про отримання інтегрованого довкіллєвого дозволу (внесення змін до нього)</w:t>
      </w:r>
      <w:r w:rsidR="00286470" w:rsidRPr="00E027A3">
        <w:rPr>
          <w:rFonts w:ascii="Times New Roman" w:hAnsi="Times New Roman" w:cs="Times New Roman"/>
          <w:sz w:val="28"/>
          <w:szCs w:val="28"/>
        </w:rPr>
        <w:t xml:space="preserve"> та доданих до неї документів, які </w:t>
      </w:r>
      <w:r w:rsidR="00944BD0">
        <w:rPr>
          <w:rFonts w:ascii="Times New Roman" w:hAnsi="Times New Roman" w:cs="Times New Roman"/>
          <w:sz w:val="28"/>
          <w:szCs w:val="28"/>
        </w:rPr>
        <w:t>оприлюднюються на веб</w:t>
      </w:r>
      <w:r w:rsidR="00FF0C37" w:rsidRPr="00E027A3">
        <w:rPr>
          <w:rFonts w:ascii="Times New Roman" w:hAnsi="Times New Roman" w:cs="Times New Roman"/>
          <w:sz w:val="28"/>
          <w:szCs w:val="28"/>
        </w:rPr>
        <w:t xml:space="preserve">порталі Реєстру та </w:t>
      </w:r>
      <w:r w:rsidR="00286470" w:rsidRPr="00E027A3">
        <w:rPr>
          <w:rFonts w:ascii="Times New Roman" w:hAnsi="Times New Roman" w:cs="Times New Roman"/>
          <w:sz w:val="28"/>
          <w:szCs w:val="28"/>
        </w:rPr>
        <w:t>знаходяться на попередньому розгляді</w:t>
      </w:r>
      <w:r w:rsidR="000D189B" w:rsidRPr="00E027A3">
        <w:rPr>
          <w:rFonts w:ascii="Times New Roman" w:hAnsi="Times New Roman" w:cs="Times New Roman"/>
          <w:sz w:val="28"/>
          <w:szCs w:val="28"/>
        </w:rPr>
        <w:t>,</w:t>
      </w:r>
      <w:r w:rsidR="00286470" w:rsidRPr="00E027A3">
        <w:rPr>
          <w:rFonts w:ascii="Times New Roman" w:hAnsi="Times New Roman" w:cs="Times New Roman"/>
          <w:sz w:val="28"/>
          <w:szCs w:val="28"/>
        </w:rPr>
        <w:t xml:space="preserve"> додається позначка </w:t>
      </w:r>
      <w:r w:rsidR="005B07A9" w:rsidRPr="00E027A3">
        <w:rPr>
          <w:rFonts w:ascii="Times New Roman" w:hAnsi="Times New Roman" w:cs="Times New Roman"/>
          <w:sz w:val="28"/>
          <w:szCs w:val="28"/>
        </w:rPr>
        <w:t>«</w:t>
      </w:r>
      <w:r w:rsidR="00286470" w:rsidRPr="00E027A3">
        <w:rPr>
          <w:rFonts w:ascii="Times New Roman" w:hAnsi="Times New Roman" w:cs="Times New Roman"/>
          <w:sz w:val="28"/>
          <w:szCs w:val="28"/>
        </w:rPr>
        <w:t>попередній розгляд</w:t>
      </w:r>
      <w:r w:rsidR="005B07A9" w:rsidRPr="00E027A3">
        <w:rPr>
          <w:rFonts w:ascii="Times New Roman" w:hAnsi="Times New Roman" w:cs="Times New Roman"/>
          <w:sz w:val="28"/>
          <w:szCs w:val="28"/>
        </w:rPr>
        <w:t>»</w:t>
      </w:r>
      <w:r w:rsidR="00D560AE" w:rsidRPr="00E027A3">
        <w:rPr>
          <w:rFonts w:ascii="Times New Roman" w:hAnsi="Times New Roman" w:cs="Times New Roman"/>
          <w:sz w:val="28"/>
          <w:szCs w:val="28"/>
        </w:rPr>
        <w:t>.</w:t>
      </w:r>
    </w:p>
    <w:p w14:paraId="0453A488" w14:textId="77777777" w:rsidR="00E63B28" w:rsidRPr="00E027A3" w:rsidRDefault="00E63B28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236F923" w14:textId="664EB8E8" w:rsidR="00633B91" w:rsidRPr="00E027A3" w:rsidRDefault="00E63B28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</w:t>
      </w:r>
      <w:r w:rsidR="00C557F6">
        <w:rPr>
          <w:rFonts w:ascii="Times New Roman" w:hAnsi="Times New Roman" w:cs="Times New Roman"/>
          <w:sz w:val="28"/>
          <w:szCs w:val="28"/>
        </w:rPr>
        <w:t>1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0D189B" w:rsidRPr="00E027A3">
        <w:rPr>
          <w:rFonts w:ascii="Times New Roman" w:hAnsi="Times New Roman" w:cs="Times New Roman"/>
          <w:sz w:val="28"/>
          <w:szCs w:val="28"/>
        </w:rPr>
        <w:t>В адміністративному провадженні з видачі інтегрованого довкіллєвого д</w:t>
      </w:r>
      <w:r w:rsidR="000B58CE">
        <w:rPr>
          <w:rFonts w:ascii="Times New Roman" w:hAnsi="Times New Roman" w:cs="Times New Roman"/>
          <w:sz w:val="28"/>
          <w:szCs w:val="28"/>
        </w:rPr>
        <w:t xml:space="preserve">озволу (внесення змін до нього) </w:t>
      </w:r>
      <w:r w:rsidR="005116A3" w:rsidRPr="00E027A3">
        <w:rPr>
          <w:rFonts w:ascii="Times New Roman" w:hAnsi="Times New Roman" w:cs="Times New Roman"/>
          <w:sz w:val="28"/>
          <w:szCs w:val="28"/>
        </w:rPr>
        <w:t>Міндовкілля</w:t>
      </w:r>
      <w:r w:rsidR="00633B91" w:rsidRPr="00E027A3">
        <w:rPr>
          <w:rFonts w:ascii="Times New Roman" w:hAnsi="Times New Roman" w:cs="Times New Roman"/>
          <w:sz w:val="28"/>
          <w:szCs w:val="28"/>
        </w:rPr>
        <w:t xml:space="preserve"> надсилає </w:t>
      </w:r>
      <w:r w:rsidR="00C414E7" w:rsidRPr="00E027A3">
        <w:rPr>
          <w:rFonts w:ascii="Times New Roman" w:hAnsi="Times New Roman" w:cs="Times New Roman"/>
          <w:sz w:val="28"/>
          <w:szCs w:val="28"/>
        </w:rPr>
        <w:t xml:space="preserve">заяву про отримання інтегрованого довкіллєвого дозволу (внесення змін до нього) та додані до неї документи та забезпечує електронну взаємодію </w:t>
      </w:r>
      <w:r w:rsidR="00ED01FB" w:rsidRPr="00E027A3">
        <w:rPr>
          <w:rFonts w:ascii="Times New Roman" w:hAnsi="Times New Roman" w:cs="Times New Roman"/>
          <w:sz w:val="28"/>
          <w:szCs w:val="28"/>
        </w:rPr>
        <w:t xml:space="preserve">з </w:t>
      </w:r>
      <w:r w:rsidR="00633B91" w:rsidRPr="00E027A3">
        <w:rPr>
          <w:rFonts w:ascii="Times New Roman" w:hAnsi="Times New Roman" w:cs="Times New Roman"/>
          <w:sz w:val="28"/>
          <w:szCs w:val="28"/>
        </w:rPr>
        <w:t>іншим</w:t>
      </w:r>
      <w:r w:rsidR="00C414E7" w:rsidRPr="00E027A3">
        <w:rPr>
          <w:rFonts w:ascii="Times New Roman" w:hAnsi="Times New Roman" w:cs="Times New Roman"/>
          <w:sz w:val="28"/>
          <w:szCs w:val="28"/>
        </w:rPr>
        <w:t>и</w:t>
      </w:r>
      <w:r w:rsidR="00633B91" w:rsidRPr="00E027A3">
        <w:rPr>
          <w:rFonts w:ascii="Times New Roman" w:hAnsi="Times New Roman" w:cs="Times New Roman"/>
          <w:sz w:val="28"/>
          <w:szCs w:val="28"/>
        </w:rPr>
        <w:t xml:space="preserve"> органам</w:t>
      </w:r>
      <w:r w:rsidR="00C414E7" w:rsidRPr="00E027A3">
        <w:rPr>
          <w:rFonts w:ascii="Times New Roman" w:hAnsi="Times New Roman" w:cs="Times New Roman"/>
          <w:sz w:val="28"/>
          <w:szCs w:val="28"/>
        </w:rPr>
        <w:t>и</w:t>
      </w:r>
      <w:r w:rsidR="00633B91" w:rsidRPr="00E027A3">
        <w:rPr>
          <w:rFonts w:ascii="Times New Roman" w:hAnsi="Times New Roman" w:cs="Times New Roman"/>
          <w:sz w:val="28"/>
          <w:szCs w:val="28"/>
        </w:rPr>
        <w:t xml:space="preserve"> виконавчої влади, компетенція яких стосується умов інтегрованого довкіллєвого дозволу, та органам</w:t>
      </w:r>
      <w:r w:rsidR="00C414E7" w:rsidRPr="00E027A3">
        <w:rPr>
          <w:rFonts w:ascii="Times New Roman" w:hAnsi="Times New Roman" w:cs="Times New Roman"/>
          <w:sz w:val="28"/>
          <w:szCs w:val="28"/>
        </w:rPr>
        <w:t>и</w:t>
      </w:r>
      <w:r w:rsidR="00633B91" w:rsidRPr="00E027A3">
        <w:rPr>
          <w:rFonts w:ascii="Times New Roman" w:hAnsi="Times New Roman" w:cs="Times New Roman"/>
          <w:sz w:val="28"/>
          <w:szCs w:val="28"/>
        </w:rPr>
        <w:t xml:space="preserve"> місцевого самоврядування територіальних громад, які можуть зазнати впливу внаслідок діяльності установки</w:t>
      </w:r>
      <w:r w:rsidR="00C414E7" w:rsidRPr="00E027A3">
        <w:rPr>
          <w:rFonts w:ascii="Times New Roman" w:hAnsi="Times New Roman" w:cs="Times New Roman"/>
          <w:sz w:val="28"/>
          <w:szCs w:val="28"/>
        </w:rPr>
        <w:t>, шляхом адресної розсилки на офіційні адреси</w:t>
      </w:r>
      <w:r w:rsidR="00ED01FB" w:rsidRPr="00E027A3">
        <w:rPr>
          <w:rFonts w:ascii="Times New Roman" w:hAnsi="Times New Roman" w:cs="Times New Roman"/>
          <w:sz w:val="28"/>
          <w:szCs w:val="28"/>
        </w:rPr>
        <w:t xml:space="preserve"> таких органів</w:t>
      </w:r>
      <w:r w:rsidR="00C414E7" w:rsidRPr="00E027A3">
        <w:rPr>
          <w:rFonts w:ascii="Times New Roman" w:hAnsi="Times New Roman" w:cs="Times New Roman"/>
          <w:sz w:val="28"/>
          <w:szCs w:val="28"/>
        </w:rPr>
        <w:t>.</w:t>
      </w:r>
    </w:p>
    <w:p w14:paraId="17DBA836" w14:textId="77777777" w:rsidR="00E63B28" w:rsidRPr="00E027A3" w:rsidRDefault="00E63B28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0493BF" w14:textId="46DA1089" w:rsidR="00141C2E" w:rsidRPr="00E027A3" w:rsidRDefault="00E63B28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</w:t>
      </w:r>
      <w:r w:rsidR="00C557F6">
        <w:rPr>
          <w:rFonts w:ascii="Times New Roman" w:hAnsi="Times New Roman" w:cs="Times New Roman"/>
          <w:sz w:val="28"/>
          <w:szCs w:val="28"/>
        </w:rPr>
        <w:t>2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141C2E" w:rsidRPr="00E027A3">
        <w:rPr>
          <w:rFonts w:ascii="Times New Roman" w:hAnsi="Times New Roman" w:cs="Times New Roman"/>
          <w:sz w:val="28"/>
          <w:szCs w:val="28"/>
        </w:rPr>
        <w:t xml:space="preserve">Зауваження та пропозиції до заяви про отримання інтегрованого довкіллєвого дозволу (внесення змін до нього) та доданих до неї документів, подані іншими органами виконавчої влади, органами місцевого самоврядування </w:t>
      </w:r>
      <w:r w:rsidR="00F50F82" w:rsidRPr="00E027A3">
        <w:rPr>
          <w:rFonts w:ascii="Times New Roman" w:hAnsi="Times New Roman" w:cs="Times New Roman"/>
          <w:sz w:val="28"/>
          <w:szCs w:val="28"/>
        </w:rPr>
        <w:t>та громадськістю</w:t>
      </w:r>
      <w:r w:rsidR="00ED01FB" w:rsidRPr="00E027A3">
        <w:rPr>
          <w:rFonts w:ascii="Times New Roman" w:hAnsi="Times New Roman" w:cs="Times New Roman"/>
          <w:sz w:val="28"/>
          <w:szCs w:val="28"/>
        </w:rPr>
        <w:t xml:space="preserve"> </w:t>
      </w:r>
      <w:r w:rsidR="00F50F82" w:rsidRPr="00E027A3">
        <w:rPr>
          <w:rFonts w:ascii="Times New Roman" w:hAnsi="Times New Roman" w:cs="Times New Roman"/>
          <w:sz w:val="28"/>
          <w:szCs w:val="28"/>
        </w:rPr>
        <w:t xml:space="preserve">у інший спосіб, ніж засобами Реєстру, </w:t>
      </w:r>
      <w:r w:rsidR="00141C2E" w:rsidRPr="00E027A3">
        <w:rPr>
          <w:rFonts w:ascii="Times New Roman" w:hAnsi="Times New Roman" w:cs="Times New Roman"/>
          <w:sz w:val="28"/>
          <w:szCs w:val="28"/>
        </w:rPr>
        <w:t xml:space="preserve">вносяться до Реєстру </w:t>
      </w:r>
      <w:r w:rsidR="005116A3" w:rsidRPr="00E027A3">
        <w:rPr>
          <w:rFonts w:ascii="Times New Roman" w:hAnsi="Times New Roman" w:cs="Times New Roman"/>
          <w:sz w:val="28"/>
          <w:szCs w:val="28"/>
        </w:rPr>
        <w:t>Міндовкіллям</w:t>
      </w:r>
      <w:r w:rsidR="00141C2E" w:rsidRPr="00E027A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0D0D8F0" w14:textId="77777777" w:rsidR="00E63B28" w:rsidRPr="00E027A3" w:rsidRDefault="00E63B28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997F7A" w14:textId="7B9F6919" w:rsidR="004E0761" w:rsidRPr="00E027A3" w:rsidRDefault="00E63B28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2</w:t>
      </w:r>
      <w:r w:rsidR="00C557F6">
        <w:rPr>
          <w:rFonts w:ascii="Times New Roman" w:hAnsi="Times New Roman" w:cs="Times New Roman"/>
          <w:sz w:val="28"/>
          <w:szCs w:val="28"/>
        </w:rPr>
        <w:t>3</w:t>
      </w:r>
      <w:r w:rsidRPr="00E027A3">
        <w:rPr>
          <w:rFonts w:ascii="Times New Roman" w:hAnsi="Times New Roman" w:cs="Times New Roman"/>
          <w:sz w:val="28"/>
          <w:szCs w:val="28"/>
        </w:rPr>
        <w:t>. </w:t>
      </w:r>
      <w:r w:rsidR="004E0761" w:rsidRPr="00E027A3">
        <w:rPr>
          <w:rFonts w:ascii="Times New Roman" w:hAnsi="Times New Roman" w:cs="Times New Roman"/>
          <w:sz w:val="28"/>
          <w:szCs w:val="28"/>
        </w:rPr>
        <w:t>Інформація та документи, внесені до Реєстру, зберігаються протягом усього часу експлуатації установки, але не менше ніж 10 років з дня відкликання інтегрованого довкіллєвого дозволу, визнання його недійсним або його скасування, є відкритими, вільний доступ до них забезпечується через засоби Реєстру</w:t>
      </w:r>
      <w:r w:rsidR="004D763E" w:rsidRPr="00E027A3">
        <w:rPr>
          <w:rFonts w:ascii="Times New Roman" w:hAnsi="Times New Roman" w:cs="Times New Roman"/>
          <w:sz w:val="28"/>
          <w:szCs w:val="28"/>
        </w:rPr>
        <w:t>.</w:t>
      </w:r>
    </w:p>
    <w:p w14:paraId="471F474E" w14:textId="77777777" w:rsidR="00E63B28" w:rsidRPr="00E027A3" w:rsidRDefault="00E63B28" w:rsidP="00E63B28">
      <w:pPr>
        <w:pStyle w:val="a8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DCA57C" w14:textId="3AC57817" w:rsidR="00E63B28" w:rsidRPr="00E027A3" w:rsidRDefault="00E63B28" w:rsidP="00E63B28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027A3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sectPr w:rsidR="00E63B28" w:rsidRPr="00E027A3" w:rsidSect="002A10F5">
      <w:headerReference w:type="default" r:id="rId16"/>
      <w:pgSz w:w="11906" w:h="16838"/>
      <w:pgMar w:top="1361" w:right="624" w:bottom="1440" w:left="170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344C5A5" w16cex:dateUtc="2025-03-28T12:01:00Z"/>
  <w16cex:commentExtensible w16cex:durableId="7B1DCF5B" w16cex:dateUtc="2025-03-28T12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A920C8" w16cid:durableId="3344C5A5"/>
  <w16cid:commentId w16cid:paraId="1645573B" w16cid:durableId="7B1DCF5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EF1E7" w14:textId="77777777" w:rsidR="00F94BC7" w:rsidRDefault="00F94BC7">
      <w:pPr>
        <w:spacing w:after="0" w:line="240" w:lineRule="auto"/>
      </w:pPr>
      <w:r>
        <w:separator/>
      </w:r>
    </w:p>
  </w:endnote>
  <w:endnote w:type="continuationSeparator" w:id="0">
    <w:p w14:paraId="446B50E8" w14:textId="77777777" w:rsidR="00F94BC7" w:rsidRDefault="00F9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2C0AB" w14:textId="77777777" w:rsidR="00F94BC7" w:rsidRDefault="00F94BC7">
      <w:pPr>
        <w:spacing w:after="0" w:line="240" w:lineRule="auto"/>
      </w:pPr>
      <w:r>
        <w:separator/>
      </w:r>
    </w:p>
  </w:footnote>
  <w:footnote w:type="continuationSeparator" w:id="0">
    <w:p w14:paraId="658FCCC2" w14:textId="77777777" w:rsidR="00F94BC7" w:rsidRDefault="00F9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5467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B4050EA" w14:textId="78DC31EA" w:rsidR="009C61A2" w:rsidRPr="00E63B28" w:rsidRDefault="00C74B42">
        <w:pPr>
          <w:pStyle w:val="a3"/>
          <w:jc w:val="center"/>
          <w:rPr>
            <w:rFonts w:ascii="Times New Roman" w:hAnsi="Times New Roman" w:cs="Times New Roman"/>
          </w:rPr>
        </w:pPr>
        <w:r w:rsidRPr="00E63B28">
          <w:rPr>
            <w:rFonts w:ascii="Times New Roman" w:hAnsi="Times New Roman" w:cs="Times New Roman"/>
          </w:rPr>
          <w:fldChar w:fldCharType="begin"/>
        </w:r>
        <w:r w:rsidRPr="00E63B28">
          <w:rPr>
            <w:rFonts w:ascii="Times New Roman" w:hAnsi="Times New Roman" w:cs="Times New Roman"/>
          </w:rPr>
          <w:instrText>PAGE   \* MERGEFORMAT</w:instrText>
        </w:r>
        <w:r w:rsidRPr="00E63B28">
          <w:rPr>
            <w:rFonts w:ascii="Times New Roman" w:hAnsi="Times New Roman" w:cs="Times New Roman"/>
          </w:rPr>
          <w:fldChar w:fldCharType="separate"/>
        </w:r>
        <w:r w:rsidR="00102F04" w:rsidRPr="00102F04">
          <w:rPr>
            <w:rFonts w:ascii="Times New Roman" w:hAnsi="Times New Roman" w:cs="Times New Roman"/>
            <w:noProof/>
            <w:lang w:val="ru-RU"/>
          </w:rPr>
          <w:t>2</w:t>
        </w:r>
        <w:r w:rsidRPr="00E63B28">
          <w:rPr>
            <w:rFonts w:ascii="Times New Roman" w:hAnsi="Times New Roman" w:cs="Times New Roman"/>
          </w:rPr>
          <w:fldChar w:fldCharType="end"/>
        </w:r>
      </w:p>
    </w:sdtContent>
  </w:sdt>
  <w:p w14:paraId="3D6CD60F" w14:textId="77777777" w:rsidR="009C61A2" w:rsidRDefault="009C61A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35426"/>
    <w:multiLevelType w:val="hybridMultilevel"/>
    <w:tmpl w:val="147400C8"/>
    <w:lvl w:ilvl="0" w:tplc="FA8467A2">
      <w:start w:val="20"/>
      <w:numFmt w:val="decimal"/>
      <w:lvlText w:val="%1)"/>
      <w:lvlJc w:val="left"/>
      <w:pPr>
        <w:ind w:left="957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BC97BC8"/>
    <w:multiLevelType w:val="hybridMultilevel"/>
    <w:tmpl w:val="113EBA68"/>
    <w:lvl w:ilvl="0" w:tplc="C7E8B06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7D91A3E"/>
    <w:multiLevelType w:val="hybridMultilevel"/>
    <w:tmpl w:val="ADDC5D74"/>
    <w:lvl w:ilvl="0" w:tplc="3E50FE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F0A664A"/>
    <w:multiLevelType w:val="hybridMultilevel"/>
    <w:tmpl w:val="565C817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2702F3E8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AE"/>
    <w:rsid w:val="000060CC"/>
    <w:rsid w:val="00014B74"/>
    <w:rsid w:val="00021615"/>
    <w:rsid w:val="00024238"/>
    <w:rsid w:val="00053038"/>
    <w:rsid w:val="000B0322"/>
    <w:rsid w:val="000B58CE"/>
    <w:rsid w:val="000C35EF"/>
    <w:rsid w:val="000D189B"/>
    <w:rsid w:val="000E1EF4"/>
    <w:rsid w:val="000F034C"/>
    <w:rsid w:val="000F0716"/>
    <w:rsid w:val="000F4464"/>
    <w:rsid w:val="00102F04"/>
    <w:rsid w:val="00115E5E"/>
    <w:rsid w:val="00132D7A"/>
    <w:rsid w:val="001418E8"/>
    <w:rsid w:val="00141C2E"/>
    <w:rsid w:val="00145580"/>
    <w:rsid w:val="001700B9"/>
    <w:rsid w:val="001803D0"/>
    <w:rsid w:val="00192ACE"/>
    <w:rsid w:val="001B2C6A"/>
    <w:rsid w:val="001C05AC"/>
    <w:rsid w:val="001E7885"/>
    <w:rsid w:val="002063A7"/>
    <w:rsid w:val="0025554F"/>
    <w:rsid w:val="00260CBE"/>
    <w:rsid w:val="00263846"/>
    <w:rsid w:val="0027391B"/>
    <w:rsid w:val="0028152C"/>
    <w:rsid w:val="00286470"/>
    <w:rsid w:val="002A75CA"/>
    <w:rsid w:val="002B5D56"/>
    <w:rsid w:val="002B646E"/>
    <w:rsid w:val="002C4EA5"/>
    <w:rsid w:val="002C65FE"/>
    <w:rsid w:val="002C6CA7"/>
    <w:rsid w:val="002C7DD9"/>
    <w:rsid w:val="002D3972"/>
    <w:rsid w:val="00327FDE"/>
    <w:rsid w:val="003329F0"/>
    <w:rsid w:val="00337A11"/>
    <w:rsid w:val="003A7BA1"/>
    <w:rsid w:val="003C0257"/>
    <w:rsid w:val="003C7C2C"/>
    <w:rsid w:val="003D18BC"/>
    <w:rsid w:val="003E10D3"/>
    <w:rsid w:val="004104AB"/>
    <w:rsid w:val="004142B2"/>
    <w:rsid w:val="00430C6C"/>
    <w:rsid w:val="004376C0"/>
    <w:rsid w:val="0047147D"/>
    <w:rsid w:val="0047301C"/>
    <w:rsid w:val="00474C37"/>
    <w:rsid w:val="004A0FC9"/>
    <w:rsid w:val="004B65D8"/>
    <w:rsid w:val="004C4240"/>
    <w:rsid w:val="004D1385"/>
    <w:rsid w:val="004D215D"/>
    <w:rsid w:val="004D763E"/>
    <w:rsid w:val="004E0761"/>
    <w:rsid w:val="004F0FA3"/>
    <w:rsid w:val="0050616B"/>
    <w:rsid w:val="005116A3"/>
    <w:rsid w:val="00512975"/>
    <w:rsid w:val="00522D3E"/>
    <w:rsid w:val="005260DB"/>
    <w:rsid w:val="005302CB"/>
    <w:rsid w:val="00544E93"/>
    <w:rsid w:val="005B07A9"/>
    <w:rsid w:val="005D2424"/>
    <w:rsid w:val="0060770F"/>
    <w:rsid w:val="0061378C"/>
    <w:rsid w:val="006274FE"/>
    <w:rsid w:val="00633B91"/>
    <w:rsid w:val="00652E85"/>
    <w:rsid w:val="006609F4"/>
    <w:rsid w:val="00685661"/>
    <w:rsid w:val="006A3665"/>
    <w:rsid w:val="006B5A9E"/>
    <w:rsid w:val="006C0680"/>
    <w:rsid w:val="006C2968"/>
    <w:rsid w:val="006D058A"/>
    <w:rsid w:val="006D5013"/>
    <w:rsid w:val="006F5177"/>
    <w:rsid w:val="00703D4D"/>
    <w:rsid w:val="007340EA"/>
    <w:rsid w:val="00734EEB"/>
    <w:rsid w:val="00755A0A"/>
    <w:rsid w:val="00756DBA"/>
    <w:rsid w:val="00761C09"/>
    <w:rsid w:val="00771C08"/>
    <w:rsid w:val="00781EDA"/>
    <w:rsid w:val="007C6EA6"/>
    <w:rsid w:val="007D24C8"/>
    <w:rsid w:val="008421D2"/>
    <w:rsid w:val="00842429"/>
    <w:rsid w:val="00852456"/>
    <w:rsid w:val="00861059"/>
    <w:rsid w:val="00866A59"/>
    <w:rsid w:val="00870BF5"/>
    <w:rsid w:val="008719BE"/>
    <w:rsid w:val="008771EB"/>
    <w:rsid w:val="00882B9E"/>
    <w:rsid w:val="0089599B"/>
    <w:rsid w:val="008A143A"/>
    <w:rsid w:val="008D0336"/>
    <w:rsid w:val="008D150A"/>
    <w:rsid w:val="008D57B4"/>
    <w:rsid w:val="008E136C"/>
    <w:rsid w:val="008F567E"/>
    <w:rsid w:val="00913B01"/>
    <w:rsid w:val="009178D7"/>
    <w:rsid w:val="00920DFD"/>
    <w:rsid w:val="00932AC3"/>
    <w:rsid w:val="009374A8"/>
    <w:rsid w:val="009418BE"/>
    <w:rsid w:val="00944BD0"/>
    <w:rsid w:val="009513BE"/>
    <w:rsid w:val="009612BF"/>
    <w:rsid w:val="00971639"/>
    <w:rsid w:val="00973304"/>
    <w:rsid w:val="009804F7"/>
    <w:rsid w:val="00987A24"/>
    <w:rsid w:val="009977B9"/>
    <w:rsid w:val="009A4B8E"/>
    <w:rsid w:val="009B0D29"/>
    <w:rsid w:val="009B1037"/>
    <w:rsid w:val="009B3102"/>
    <w:rsid w:val="009C61A2"/>
    <w:rsid w:val="009D3A5F"/>
    <w:rsid w:val="009E3B94"/>
    <w:rsid w:val="009E4FCD"/>
    <w:rsid w:val="009F0617"/>
    <w:rsid w:val="00A00353"/>
    <w:rsid w:val="00A16A3F"/>
    <w:rsid w:val="00A3077B"/>
    <w:rsid w:val="00A52993"/>
    <w:rsid w:val="00A52BCA"/>
    <w:rsid w:val="00A54ED2"/>
    <w:rsid w:val="00A65654"/>
    <w:rsid w:val="00A669F5"/>
    <w:rsid w:val="00A73B23"/>
    <w:rsid w:val="00AA6F8F"/>
    <w:rsid w:val="00AB6E68"/>
    <w:rsid w:val="00B00D84"/>
    <w:rsid w:val="00B3255E"/>
    <w:rsid w:val="00B347F7"/>
    <w:rsid w:val="00B465D5"/>
    <w:rsid w:val="00B57B48"/>
    <w:rsid w:val="00B71616"/>
    <w:rsid w:val="00B74FF5"/>
    <w:rsid w:val="00B86486"/>
    <w:rsid w:val="00B9329A"/>
    <w:rsid w:val="00B95CFB"/>
    <w:rsid w:val="00BB45DD"/>
    <w:rsid w:val="00BB63CB"/>
    <w:rsid w:val="00BC21CE"/>
    <w:rsid w:val="00BC2919"/>
    <w:rsid w:val="00C414E7"/>
    <w:rsid w:val="00C53DC9"/>
    <w:rsid w:val="00C55022"/>
    <w:rsid w:val="00C557F6"/>
    <w:rsid w:val="00C601EA"/>
    <w:rsid w:val="00C70787"/>
    <w:rsid w:val="00C732A7"/>
    <w:rsid w:val="00C74B42"/>
    <w:rsid w:val="00C87692"/>
    <w:rsid w:val="00CA5416"/>
    <w:rsid w:val="00CB2C51"/>
    <w:rsid w:val="00CC12FB"/>
    <w:rsid w:val="00CC171A"/>
    <w:rsid w:val="00CE4B57"/>
    <w:rsid w:val="00CE779C"/>
    <w:rsid w:val="00CF1B55"/>
    <w:rsid w:val="00D0143E"/>
    <w:rsid w:val="00D01F02"/>
    <w:rsid w:val="00D313EC"/>
    <w:rsid w:val="00D55892"/>
    <w:rsid w:val="00D560AE"/>
    <w:rsid w:val="00D81066"/>
    <w:rsid w:val="00D83A0C"/>
    <w:rsid w:val="00D858E3"/>
    <w:rsid w:val="00D8611E"/>
    <w:rsid w:val="00D95FB0"/>
    <w:rsid w:val="00D97D3F"/>
    <w:rsid w:val="00DD34E9"/>
    <w:rsid w:val="00DF5035"/>
    <w:rsid w:val="00DF657C"/>
    <w:rsid w:val="00E027A3"/>
    <w:rsid w:val="00E11410"/>
    <w:rsid w:val="00E157C4"/>
    <w:rsid w:val="00E25302"/>
    <w:rsid w:val="00E63B28"/>
    <w:rsid w:val="00E6480E"/>
    <w:rsid w:val="00E87533"/>
    <w:rsid w:val="00EB229E"/>
    <w:rsid w:val="00EC2EBF"/>
    <w:rsid w:val="00ED01FB"/>
    <w:rsid w:val="00ED3306"/>
    <w:rsid w:val="00ED36A4"/>
    <w:rsid w:val="00EF2EBD"/>
    <w:rsid w:val="00EF44C7"/>
    <w:rsid w:val="00F10D03"/>
    <w:rsid w:val="00F13088"/>
    <w:rsid w:val="00F50F82"/>
    <w:rsid w:val="00F63A20"/>
    <w:rsid w:val="00F67BF0"/>
    <w:rsid w:val="00F74E7F"/>
    <w:rsid w:val="00F775BE"/>
    <w:rsid w:val="00F7779B"/>
    <w:rsid w:val="00F8267F"/>
    <w:rsid w:val="00F94BC7"/>
    <w:rsid w:val="00FB3D20"/>
    <w:rsid w:val="00FB7D73"/>
    <w:rsid w:val="00FC591F"/>
    <w:rsid w:val="00FC6B75"/>
    <w:rsid w:val="00FC7EE7"/>
    <w:rsid w:val="00FD6791"/>
    <w:rsid w:val="00FF0C37"/>
    <w:rsid w:val="00FF241A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00254"/>
  <w15:docId w15:val="{B1E3E09F-4DB9-499C-ABDA-B6BD2AEA4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0AE"/>
    <w:pPr>
      <w:tabs>
        <w:tab w:val="center" w:pos="4819"/>
        <w:tab w:val="right" w:pos="9639"/>
      </w:tabs>
      <w:spacing w:after="0" w:line="240" w:lineRule="auto"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D560AE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560AE"/>
    <w:pPr>
      <w:tabs>
        <w:tab w:val="center" w:pos="4819"/>
        <w:tab w:val="right" w:pos="9639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D560AE"/>
    <w:rPr>
      <w:sz w:val="24"/>
      <w:szCs w:val="24"/>
    </w:rPr>
  </w:style>
  <w:style w:type="character" w:styleId="a7">
    <w:name w:val="Hyperlink"/>
    <w:basedOn w:val="a0"/>
    <w:uiPriority w:val="99"/>
    <w:unhideWhenUsed/>
    <w:rsid w:val="00D560AE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D55892"/>
    <w:pPr>
      <w:ind w:left="720"/>
      <w:contextualSpacing/>
    </w:pPr>
  </w:style>
  <w:style w:type="character" w:styleId="a9">
    <w:name w:val="Strong"/>
    <w:basedOn w:val="a0"/>
    <w:qFormat/>
    <w:rsid w:val="00A54ED2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A54E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54ED2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A54E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54E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A54ED2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A54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54ED2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E87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Revision"/>
    <w:hidden/>
    <w:uiPriority w:val="99"/>
    <w:semiHidden/>
    <w:rsid w:val="00A307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3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907-20" TargetMode="External"/><Relationship Id="rId13" Type="http://schemas.openxmlformats.org/officeDocument/2006/relationships/hyperlink" Target="https://zakon.rada.gov.ua/laws/show/852-1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614-20" TargetMode="External"/><Relationship Id="rId12" Type="http://schemas.openxmlformats.org/officeDocument/2006/relationships/hyperlink" Target="https://zakon.rada.gov.ua/laws/show/2059-1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akon.rada.gov.ua/laws/show/1065-2021-%D0%B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akon.rada.gov.ua/laws/show/3855-20" TargetMode="External"/><Relationship Id="rId28" Type="http://schemas.microsoft.com/office/2016/09/relationships/commentsIds" Target="commentsIds.xml"/><Relationship Id="rId10" Type="http://schemas.openxmlformats.org/officeDocument/2006/relationships/hyperlink" Target="https://zakon.rada.gov.ua/laws/show/1907-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907-20" TargetMode="External"/><Relationship Id="rId14" Type="http://schemas.openxmlformats.org/officeDocument/2006/relationships/hyperlink" Target="https://zakon.rada.gov.ua/laws/show/1065-2021-%D0%BF" TargetMode="Externa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Наталія Вікторівна</dc:creator>
  <cp:lastModifiedBy>User</cp:lastModifiedBy>
  <cp:revision>2</cp:revision>
  <cp:lastPrinted>2025-04-04T09:58:00Z</cp:lastPrinted>
  <dcterms:created xsi:type="dcterms:W3CDTF">2025-04-20T16:42:00Z</dcterms:created>
  <dcterms:modified xsi:type="dcterms:W3CDTF">2025-04-20T16:42:00Z</dcterms:modified>
</cp:coreProperties>
</file>