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8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284"/>
        <w:gridCol w:w="1279"/>
        <w:gridCol w:w="568"/>
        <w:gridCol w:w="283"/>
        <w:gridCol w:w="1418"/>
        <w:gridCol w:w="284"/>
        <w:gridCol w:w="1697"/>
        <w:gridCol w:w="284"/>
        <w:gridCol w:w="1420"/>
        <w:gridCol w:w="3971"/>
        <w:gridCol w:w="854"/>
        <w:gridCol w:w="2548"/>
        <w:gridCol w:w="1558"/>
        <w:gridCol w:w="1701"/>
        <w:gridCol w:w="6236"/>
        <w:gridCol w:w="2840"/>
      </w:tblGrid>
      <w:tr w:rsidR="00C676BC" w:rsidRPr="00FE55B5" w:rsidTr="007E49DA">
        <w:trPr>
          <w:trHeight w:val="315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76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0A742C" w:rsidRDefault="00C676BC" w:rsidP="000A742C">
            <w:pPr>
              <w:spacing w:after="0" w:line="240" w:lineRule="auto"/>
              <w:ind w:left="8396"/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Про відмову у затвердженні планів моніторингу</w:t>
            </w:r>
            <w:r w:rsidR="00DA694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</w:t>
            </w:r>
          </w:p>
          <w:p w:rsidR="00C676BC" w:rsidRDefault="00DA6947" w:rsidP="000A742C">
            <w:pPr>
              <w:spacing w:after="0" w:line="240" w:lineRule="auto"/>
              <w:ind w:left="83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із змінами</w:t>
            </w:r>
            <w:r w:rsidR="00C676BC"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0A742C" w:rsidRPr="00241BA5" w:rsidRDefault="002424F0" w:rsidP="000A742C">
            <w:pPr>
              <w:spacing w:after="0" w:line="240" w:lineRule="auto"/>
              <w:ind w:left="83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23 травня</w:t>
            </w:r>
            <w:bookmarkStart w:id="0" w:name="_GoBack"/>
            <w:bookmarkEnd w:id="0"/>
            <w:r w:rsidR="0024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="000A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2025 року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1035</w:t>
            </w:r>
          </w:p>
          <w:p w:rsidR="00C676BC" w:rsidRPr="00FE55B5" w:rsidRDefault="00C676BC" w:rsidP="008F5B44">
            <w:pPr>
              <w:spacing w:after="0" w:line="240" w:lineRule="auto"/>
              <w:ind w:left="9674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7E49DA">
        <w:trPr>
          <w:gridAfter w:val="5"/>
          <w:wAfter w:w="14883" w:type="dxa"/>
          <w:trHeight w:val="315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5" w:type="dxa"/>
            <w:gridSpan w:val="3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  <w:p w:rsidR="00557BE5" w:rsidRPr="00FE55B5" w:rsidRDefault="00557BE5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8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7E49DA">
        <w:trPr>
          <w:gridAfter w:val="4"/>
          <w:wAfter w:w="12335" w:type="dxa"/>
          <w:trHeight w:val="300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затвердженні планів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із змінами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7E49DA">
        <w:trPr>
          <w:gridAfter w:val="4"/>
          <w:wAfter w:w="12335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7E49DA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Повне н</w:t>
            </w:r>
            <w:r w:rsidR="00C676BC"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BE5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Ідентифікаційний код </w:t>
            </w:r>
          </w:p>
          <w:p w:rsidR="00557BE5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юридичної особи </w:t>
            </w:r>
          </w:p>
          <w:p w:rsidR="00557BE5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(код ЄДРПОУ) </w:t>
            </w:r>
          </w:p>
          <w:p w:rsidR="00557BE5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або </w:t>
            </w:r>
          </w:p>
          <w:p w:rsidR="00557BE5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реєстраційний номер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облікової картки платника податків фізичної особи-підприємця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557BE5" w:rsidRDefault="00557BE5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</w:t>
            </w:r>
            <w:r w:rsidR="00C676BC"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омер</w:t>
            </w:r>
          </w:p>
          <w:p w:rsidR="00557BE5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її державної реєстрації </w:t>
            </w:r>
          </w:p>
          <w:p w:rsidR="00557BE5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в Єдиному реєстрі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 моніторингу, звітності та верифікації викидів парникових газів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планів моніторингу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7E49DA">
        <w:trPr>
          <w:gridAfter w:val="4"/>
          <w:wAfter w:w="12335" w:type="dxa"/>
          <w:trHeight w:val="2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D12DA2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D12DA2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D12DA2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D12DA2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D12DA2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D12DA2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D12DA2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0A742C" w:rsidRPr="00727177" w:rsidTr="007E49DA">
        <w:trPr>
          <w:gridAfter w:val="4"/>
          <w:wAfter w:w="12335" w:type="dxa"/>
          <w:trHeight w:val="11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013DF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.04.2025</w:t>
            </w:r>
          </w:p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013DF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19002</w:t>
            </w: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/10/25</w:t>
            </w:r>
          </w:p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:rsidR="007E49DA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«ОПЕРАТОР </w:t>
            </w:r>
          </w:p>
          <w:p w:rsidR="000A742C" w:rsidRPr="00D12DA2" w:rsidRDefault="000A742C" w:rsidP="007E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ГАЗОТРАНСПОРТНОЇ СИСТЕМИ УКРАЇНИ»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42795490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0A7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Компресорна станція </w:t>
            </w:r>
            <w:r w:rsidR="00013D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Лубни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0A742C" w:rsidRPr="00D12DA2" w:rsidRDefault="000A742C" w:rsidP="00013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073.0</w:t>
            </w:r>
            <w:r w:rsidR="00013D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2E5B36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 України «Про засади моніторингу, звітності та верифікації викидів парникових газів»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Закон), у поданих оператором документах для затвердження</w:t>
            </w:r>
            <w:r w:rsidRPr="00D12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 із змінами </w:t>
            </w: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 </w:t>
            </w:r>
            <w:r w:rsidRPr="00D12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ПМ</w:t>
            </w: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D12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недостовірні відомості та невідповідності  вимогам, установленим цим Законом, а саме:</w:t>
            </w:r>
          </w:p>
          <w:p w:rsidR="00106E66" w:rsidRPr="00472B6C" w:rsidRDefault="00106E66" w:rsidP="00781079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B6C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0A742C" w:rsidRPr="00472B6C">
              <w:rPr>
                <w:rFonts w:ascii="Times New Roman" w:hAnsi="Times New Roman" w:cs="Times New Roman"/>
                <w:sz w:val="20"/>
                <w:szCs w:val="20"/>
              </w:rPr>
              <w:t>нформація</w:t>
            </w:r>
            <w:r w:rsidRPr="00472B6C">
              <w:rPr>
                <w:rFonts w:ascii="Times New Roman" w:hAnsi="Times New Roman" w:cs="Times New Roman"/>
                <w:sz w:val="20"/>
                <w:szCs w:val="20"/>
              </w:rPr>
              <w:t>, наведена</w:t>
            </w:r>
            <w:r w:rsidR="000A742C" w:rsidRPr="00472B6C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r w:rsidRPr="00472B6C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="000A742C" w:rsidRPr="00472B6C">
              <w:rPr>
                <w:rFonts w:ascii="Times New Roman" w:hAnsi="Times New Roman" w:cs="Times New Roman"/>
                <w:sz w:val="20"/>
                <w:szCs w:val="20"/>
              </w:rPr>
              <w:t>пункті 1</w:t>
            </w:r>
            <w:r w:rsidRPr="00472B6C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0A742C" w:rsidRPr="00472B6C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472B6C"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r w:rsidR="000A742C" w:rsidRPr="00472B6C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 w:rsidRPr="00472B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A742C" w:rsidRPr="00472B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B6C">
              <w:rPr>
                <w:rFonts w:ascii="Times New Roman" w:hAnsi="Times New Roman" w:cs="Times New Roman"/>
                <w:sz w:val="20"/>
                <w:szCs w:val="20"/>
              </w:rPr>
              <w:t>суперечить інформації, наведеній у підпункт</w:t>
            </w:r>
            <w:r w:rsidR="00472B6C" w:rsidRPr="00472B6C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472B6C">
              <w:rPr>
                <w:rFonts w:ascii="Times New Roman" w:hAnsi="Times New Roman" w:cs="Times New Roman"/>
                <w:sz w:val="20"/>
                <w:szCs w:val="20"/>
              </w:rPr>
              <w:t xml:space="preserve"> 1.1 </w:t>
            </w:r>
            <w:r w:rsidR="00472B6C" w:rsidRPr="00472B6C">
              <w:rPr>
                <w:rFonts w:ascii="Times New Roman" w:hAnsi="Times New Roman" w:cs="Times New Roman"/>
                <w:sz w:val="20"/>
                <w:szCs w:val="20"/>
              </w:rPr>
              <w:t xml:space="preserve">та 2.2 </w:t>
            </w:r>
            <w:r w:rsidR="00472B6C" w:rsidRPr="00472B6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72B6C">
              <w:rPr>
                <w:rFonts w:ascii="Times New Roman" w:hAnsi="Times New Roman" w:cs="Times New Roman"/>
                <w:sz w:val="20"/>
                <w:szCs w:val="20"/>
              </w:rPr>
              <w:t>Розділу ІІІ ПМ;</w:t>
            </w:r>
          </w:p>
          <w:p w:rsidR="00106E66" w:rsidRPr="00472B6C" w:rsidRDefault="00106E66" w:rsidP="00781079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B6C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</w:t>
            </w:r>
            <w:r w:rsidR="00472B6C" w:rsidRPr="00472B6C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72B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2B6C" w:rsidRPr="00472B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72B6C">
              <w:rPr>
                <w:rFonts w:ascii="Times New Roman" w:hAnsi="Times New Roman" w:cs="Times New Roman"/>
                <w:sz w:val="20"/>
                <w:szCs w:val="20"/>
              </w:rPr>
              <w:t xml:space="preserve">.2 </w:t>
            </w:r>
            <w:r w:rsidRPr="00472B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Розділу </w:t>
            </w:r>
            <w:r w:rsidR="00472B6C" w:rsidRPr="00472B6C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472B6C" w:rsidRPr="00472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72B6C">
              <w:rPr>
                <w:rFonts w:ascii="Times New Roman" w:hAnsi="Times New Roman" w:cs="Times New Roman"/>
                <w:sz w:val="20"/>
                <w:szCs w:val="20"/>
              </w:rPr>
              <w:t xml:space="preserve"> ПМ та у підпункті 1.2 </w:t>
            </w:r>
            <w:r w:rsidRPr="00472B6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Розділу </w:t>
            </w:r>
            <w:r w:rsidRPr="00472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72B6C">
              <w:rPr>
                <w:rFonts w:ascii="Times New Roman" w:hAnsi="Times New Roman" w:cs="Times New Roman"/>
                <w:sz w:val="20"/>
                <w:szCs w:val="20"/>
              </w:rPr>
              <w:t>, суперечить інформації,</w:t>
            </w:r>
            <w:r w:rsidR="007810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B6C">
              <w:rPr>
                <w:rFonts w:ascii="Times New Roman" w:hAnsi="Times New Roman" w:cs="Times New Roman"/>
                <w:sz w:val="20"/>
                <w:szCs w:val="20"/>
              </w:rPr>
              <w:t>наведеній у підпункті 1.2 Розділу ІІІ ПМ;</w:t>
            </w:r>
          </w:p>
          <w:p w:rsidR="00106E66" w:rsidRPr="00013DF9" w:rsidRDefault="00106E66" w:rsidP="00781079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2B6C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</w:t>
            </w:r>
            <w:r w:rsidR="00472B6C" w:rsidRPr="00472B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81079">
              <w:rPr>
                <w:rFonts w:ascii="Times New Roman" w:hAnsi="Times New Roman" w:cs="Times New Roman"/>
                <w:sz w:val="20"/>
                <w:szCs w:val="20"/>
              </w:rPr>
              <w:t xml:space="preserve">.9 Розділу </w:t>
            </w:r>
            <w:r w:rsidRPr="00472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72B6C">
              <w:rPr>
                <w:rFonts w:ascii="Times New Roman" w:hAnsi="Times New Roman" w:cs="Times New Roman"/>
                <w:sz w:val="20"/>
                <w:szCs w:val="20"/>
              </w:rPr>
              <w:t xml:space="preserve"> ПМ, </w:t>
            </w:r>
            <w:r w:rsidR="000A742C" w:rsidRPr="00472B6C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вимогам </w:t>
            </w:r>
            <w:r w:rsidRPr="00472B6C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="000A742C" w:rsidRPr="00472B6C">
              <w:rPr>
                <w:rFonts w:ascii="Times New Roman" w:hAnsi="Times New Roman" w:cs="Times New Roman"/>
                <w:sz w:val="20"/>
                <w:szCs w:val="20"/>
              </w:rPr>
              <w:t>пункту 1</w:t>
            </w:r>
            <w:r w:rsidRPr="00472B6C"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="000A742C" w:rsidRPr="00472B6C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="000A742C" w:rsidRPr="00472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0A742C" w:rsidRPr="00472B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B6C">
              <w:rPr>
                <w:rFonts w:ascii="Times New Roman" w:hAnsi="Times New Roman" w:cs="Times New Roman"/>
                <w:sz w:val="20"/>
                <w:szCs w:val="20"/>
              </w:rPr>
              <w:t xml:space="preserve">Вимог до заповнення типової форми стандартного плану моніторингу, затверджених </w:t>
            </w:r>
            <w:r w:rsidR="007E49DA" w:rsidRPr="00472B6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72B6C">
              <w:rPr>
                <w:rFonts w:ascii="Times New Roman" w:hAnsi="Times New Roman" w:cs="Times New Roman"/>
                <w:sz w:val="20"/>
                <w:szCs w:val="20"/>
              </w:rPr>
              <w:t xml:space="preserve">наказом Міністерства захисту довкілля </w:t>
            </w:r>
            <w:r w:rsidR="007E49DA" w:rsidRPr="00472B6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72B6C">
              <w:rPr>
                <w:rFonts w:ascii="Times New Roman" w:hAnsi="Times New Roman" w:cs="Times New Roman"/>
                <w:sz w:val="20"/>
                <w:szCs w:val="20"/>
              </w:rPr>
              <w:t xml:space="preserve">та природних ресурсів України </w:t>
            </w:r>
            <w:r w:rsidR="007E49DA" w:rsidRPr="00472B6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72B6C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7" w:anchor="n6" w:history="1">
              <w:r w:rsidRPr="00472B6C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472B6C">
              <w:rPr>
                <w:rFonts w:ascii="Times New Roman" w:hAnsi="Times New Roman" w:cs="Times New Roman"/>
                <w:sz w:val="20"/>
                <w:szCs w:val="20"/>
              </w:rPr>
              <w:t>, зареєстрованим у Міністерстві юстиції України 14 квітня 2021 р. за № 498/36120 (</w:t>
            </w:r>
            <w:r w:rsidRPr="0047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далі </w:t>
            </w:r>
            <w:r w:rsidRPr="00472B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Вимоги</w:t>
            </w:r>
            <w:r w:rsidR="00472B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 стандартного ПМ</w:t>
            </w:r>
            <w:r w:rsidRPr="00472B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72B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49DA" w:rsidRPr="00D12DA2" w:rsidRDefault="007E49DA" w:rsidP="008221E9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7E49D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</w:t>
            </w:r>
            <w:r w:rsidR="007E49DA"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нової заяви про надання адміністративної послуги та документів для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D12D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Порядку ведення Єдиного реєстру з моніторингу, звітності та верифікації викидів парникових газів, затвердженого </w:t>
            </w:r>
            <w:r w:rsidRPr="00D12DA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наказом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від 08 червня 2021 р.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370, зареєстрованим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 Міністерстві юстиції України </w:t>
            </w:r>
            <w:r w:rsidR="007E49DA" w:rsidRPr="00D12D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13 серпня 2021 р.</w:t>
            </w:r>
            <w:r w:rsidR="007E49DA"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 № 1060/36682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 </w:t>
            </w:r>
            <w:r w:rsidRPr="00D12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Порядок).</w:t>
            </w:r>
          </w:p>
        </w:tc>
      </w:tr>
      <w:tr w:rsidR="000A742C" w:rsidRPr="00727177" w:rsidTr="00557BE5">
        <w:trPr>
          <w:gridAfter w:val="4"/>
          <w:wAfter w:w="12335" w:type="dxa"/>
          <w:trHeight w:val="4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DF9" w:rsidRPr="00D12DA2" w:rsidRDefault="00013DF9" w:rsidP="0001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.04.2025</w:t>
            </w:r>
          </w:p>
          <w:p w:rsidR="00013DF9" w:rsidRPr="00D12DA2" w:rsidRDefault="00013DF9" w:rsidP="0001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19002</w:t>
            </w: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/10/25</w:t>
            </w:r>
          </w:p>
          <w:p w:rsidR="000A742C" w:rsidRPr="00D12DA2" w:rsidRDefault="000A742C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A742C" w:rsidRPr="00D12DA2" w:rsidRDefault="000A742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A742C" w:rsidRPr="00D12DA2" w:rsidRDefault="000A742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D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:rsidR="000A742C" w:rsidRPr="00D12DA2" w:rsidRDefault="000A742C" w:rsidP="00D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:rsidR="000A742C" w:rsidRPr="00D12DA2" w:rsidRDefault="000A742C" w:rsidP="00D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2C" w:rsidRPr="00D12DA2" w:rsidRDefault="000A742C" w:rsidP="00D9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42795490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ACF" w:rsidRDefault="000A742C" w:rsidP="000A7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Компресорна станція </w:t>
            </w:r>
          </w:p>
          <w:p w:rsidR="000A742C" w:rsidRPr="00D12DA2" w:rsidRDefault="00013DF9" w:rsidP="000A7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Диканька</w:t>
            </w:r>
            <w:r w:rsidR="000A742C"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0A742C" w:rsidRPr="00D12DA2" w:rsidRDefault="000A742C" w:rsidP="0001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073.0</w:t>
            </w:r>
            <w:r w:rsidR="00013D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2E5B36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D12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ПМ виявлено недостовірні відомості та невідповідності  вимогам, установленим цим Законом, а саме:</w:t>
            </w:r>
          </w:p>
          <w:p w:rsidR="002E5B36" w:rsidRPr="00D12DA2" w:rsidRDefault="00472B6C" w:rsidP="002E5B36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B6C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2.9 Розділу </w:t>
            </w:r>
            <w:r w:rsidRPr="00472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72B6C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1.9 Розділу </w:t>
            </w:r>
            <w:r w:rsidRPr="00472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72B6C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 стандартного ПМ.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Default="000A742C" w:rsidP="002E5B36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D12DA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  <w:p w:rsidR="00AB7207" w:rsidRPr="00D12DA2" w:rsidRDefault="00AB7207" w:rsidP="002E5B3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A742C" w:rsidRPr="00727177" w:rsidTr="007E49DA">
        <w:trPr>
          <w:gridAfter w:val="4"/>
          <w:wAfter w:w="12335" w:type="dxa"/>
          <w:trHeight w:val="6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013DF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.04.2025</w:t>
            </w:r>
          </w:p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</w:t>
            </w:r>
            <w:r w:rsidR="00013DF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8999</w:t>
            </w: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/10/25</w:t>
            </w:r>
          </w:p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42795490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ACF" w:rsidRDefault="000A742C" w:rsidP="00DA6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Компресорна станція </w:t>
            </w:r>
          </w:p>
          <w:p w:rsidR="000A742C" w:rsidRPr="00D12DA2" w:rsidRDefault="00013DF9" w:rsidP="00DA6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Яго</w:t>
            </w:r>
            <w:r w:rsidR="000A742C"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тин, </w:t>
            </w:r>
          </w:p>
          <w:p w:rsidR="000A742C" w:rsidRPr="00D12DA2" w:rsidRDefault="000A742C" w:rsidP="0001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073.0</w:t>
            </w:r>
            <w:r w:rsidR="00013D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2E7BCC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D12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ПМ виявлено недостовірні відомості та невідповідності  вимогам, установленим цим Законом, а саме:</w:t>
            </w:r>
          </w:p>
          <w:p w:rsidR="002E5B36" w:rsidRDefault="00472B6C" w:rsidP="00472B6C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B6C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72B6C">
              <w:rPr>
                <w:rFonts w:ascii="Times New Roman" w:hAnsi="Times New Roman" w:cs="Times New Roman"/>
                <w:sz w:val="20"/>
                <w:szCs w:val="20"/>
              </w:rPr>
              <w:t>.9 Розділу І</w:t>
            </w:r>
            <w:r w:rsidRPr="00472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72B6C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1.9 Розділу І</w:t>
            </w:r>
            <w:r w:rsidRPr="00472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72B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72B6C">
              <w:rPr>
                <w:rFonts w:ascii="Times New Roman" w:hAnsi="Times New Roman" w:cs="Times New Roman"/>
                <w:sz w:val="20"/>
                <w:szCs w:val="20"/>
              </w:rPr>
              <w:t>ипової форми стандартного плану моніторингу, затверджен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ої </w:t>
            </w:r>
            <w:r w:rsidRPr="00472B6C">
              <w:rPr>
                <w:rFonts w:ascii="Times New Roman" w:hAnsi="Times New Roman" w:cs="Times New Roman"/>
                <w:sz w:val="20"/>
                <w:szCs w:val="20"/>
              </w:rPr>
              <w:t>наказом Міністерства захисту довкілля та природних ресурсів України від 15 лютого 2021 р. № </w:t>
            </w:r>
            <w:hyperlink r:id="rId8" w:anchor="n6" w:history="1">
              <w:r w:rsidRPr="00472B6C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472B6C">
              <w:rPr>
                <w:rFonts w:ascii="Times New Roman" w:hAnsi="Times New Roman" w:cs="Times New Roman"/>
                <w:sz w:val="20"/>
                <w:szCs w:val="20"/>
              </w:rPr>
              <w:t>, зареєстрованим у Міністерстві юстиції України 14 квітня 2021 р. за № 498/36120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2B6C" w:rsidRPr="00472B6C" w:rsidRDefault="00472B6C" w:rsidP="00472B6C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B6C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1.2 Розділу ІІІ ПМ, суперечить інформації, </w:t>
            </w:r>
            <w:r w:rsidRPr="00472B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наведеній у підпункт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72B6C"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472B6C">
              <w:rPr>
                <w:rFonts w:ascii="Times New Roman" w:hAnsi="Times New Roman" w:cs="Times New Roman"/>
                <w:sz w:val="20"/>
                <w:szCs w:val="20"/>
              </w:rPr>
              <w:t>Розділу ІІІ ПМ;</w:t>
            </w:r>
          </w:p>
          <w:p w:rsidR="00472B6C" w:rsidRPr="00472B6C" w:rsidRDefault="00472B6C" w:rsidP="00472B6C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B6C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підпункті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72B6C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ІІІ ПМ, суперечить інформації, наведеній у підпункт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72B6C"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  <w:r w:rsidR="0078107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B6C">
              <w:rPr>
                <w:rFonts w:ascii="Times New Roman" w:hAnsi="Times New Roman" w:cs="Times New Roman"/>
                <w:sz w:val="20"/>
                <w:szCs w:val="20"/>
              </w:rPr>
              <w:t>Розділу ІІІ ПМ;</w:t>
            </w:r>
          </w:p>
          <w:p w:rsidR="00472B6C" w:rsidRDefault="00781079" w:rsidP="00472B6C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2B6C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.9 Розділу </w:t>
            </w:r>
            <w:r w:rsidRPr="00472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72B6C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1.9 Розділу </w:t>
            </w:r>
            <w:r w:rsidRPr="00472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72B6C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 стандартного ПМ.</w:t>
            </w:r>
          </w:p>
          <w:p w:rsidR="00781079" w:rsidRPr="00D12DA2" w:rsidRDefault="00781079" w:rsidP="00472B6C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6218B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D12DA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0A742C" w:rsidRPr="00727177" w:rsidTr="007E49DA">
        <w:trPr>
          <w:gridAfter w:val="4"/>
          <w:wAfter w:w="12335" w:type="dxa"/>
          <w:trHeight w:val="6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4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DF9" w:rsidRPr="00D12DA2" w:rsidRDefault="00013DF9" w:rsidP="0001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.04.2025</w:t>
            </w:r>
          </w:p>
          <w:p w:rsidR="00013DF9" w:rsidRPr="00D12DA2" w:rsidRDefault="00013DF9" w:rsidP="0001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19001</w:t>
            </w: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/10/25</w:t>
            </w:r>
          </w:p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42795490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DA6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Компресорна станція </w:t>
            </w:r>
            <w:r w:rsidR="00013D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Борова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0A742C" w:rsidRPr="00D12DA2" w:rsidRDefault="000A742C" w:rsidP="0001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073.0</w:t>
            </w:r>
            <w:r w:rsidR="00013D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Default="000A742C" w:rsidP="002E7BCC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D12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ПМ виявлено недостовірні відомості та невідповідності  вимогам, установленим цим Законом, а саме:</w:t>
            </w:r>
          </w:p>
          <w:p w:rsidR="00781079" w:rsidRPr="00472B6C" w:rsidRDefault="00781079" w:rsidP="00781079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B6C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1.2 Розділу 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72B6C">
              <w:rPr>
                <w:rFonts w:ascii="Times New Roman" w:hAnsi="Times New Roman" w:cs="Times New Roman"/>
                <w:sz w:val="20"/>
                <w:szCs w:val="20"/>
              </w:rPr>
              <w:t xml:space="preserve"> ПМ, суперечить інформації, наведеній у підпункт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72B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1.2 </w:t>
            </w:r>
            <w:r w:rsidRPr="00472B6C">
              <w:rPr>
                <w:rFonts w:ascii="Times New Roman" w:hAnsi="Times New Roman" w:cs="Times New Roman"/>
                <w:sz w:val="20"/>
                <w:szCs w:val="20"/>
              </w:rPr>
              <w:t>Розділу ІІІ ПМ;</w:t>
            </w:r>
          </w:p>
          <w:p w:rsidR="00B9104A" w:rsidRPr="00781079" w:rsidRDefault="00B9104A" w:rsidP="00B9104A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</w:t>
            </w:r>
            <w:r w:rsidR="00781079" w:rsidRPr="0078107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</w:t>
            </w:r>
            <w:r w:rsidR="00781079" w:rsidRPr="007810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заповнення типової форми спрощеного плану моніторингу, затверджених 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наказом Міністерства захисту довкілля та природних ресурсів України 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br/>
              <w:t>від 15 лютого 2021 р. № </w:t>
            </w:r>
            <w:hyperlink r:id="rId9" w:anchor="n6" w:history="1">
              <w:r w:rsidRPr="00781079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за № 499/ 36121 (далі </w:t>
            </w:r>
            <w:r w:rsidRPr="007810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Вимоги до спрощеного ПМ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B9104A" w:rsidRPr="00781079" w:rsidRDefault="00B9104A" w:rsidP="00B9104A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</w:t>
            </w:r>
            <w:r w:rsidR="00781079" w:rsidRPr="00781079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2.9 Розділу 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1.9 Розділу 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Вимог </w:t>
            </w:r>
            <w:r w:rsidRPr="007810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спрощеного ПМ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F62CE" w:rsidRPr="00D12DA2" w:rsidRDefault="004F62CE" w:rsidP="00B9104A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5A4BF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D12DA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0A742C" w:rsidRPr="00727177" w:rsidTr="007E49DA">
        <w:trPr>
          <w:gridAfter w:val="4"/>
          <w:wAfter w:w="12335" w:type="dxa"/>
          <w:trHeight w:val="6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0A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DF9" w:rsidRPr="00D12DA2" w:rsidRDefault="00013DF9" w:rsidP="0001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.04.2025</w:t>
            </w:r>
          </w:p>
          <w:p w:rsidR="00013DF9" w:rsidRPr="00D12DA2" w:rsidRDefault="00013DF9" w:rsidP="0001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19001</w:t>
            </w: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/10/25</w:t>
            </w:r>
          </w:p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42795490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4D" w:rsidRDefault="000A742C" w:rsidP="002E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Компресорна станція </w:t>
            </w:r>
          </w:p>
          <w:p w:rsidR="000A742C" w:rsidRPr="00D12DA2" w:rsidRDefault="00013DF9" w:rsidP="002E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Первомайська</w:t>
            </w:r>
            <w:r w:rsidR="000A742C"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0A742C" w:rsidRPr="00D12DA2" w:rsidRDefault="000A742C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073.0</w:t>
            </w:r>
            <w:r w:rsidR="00013D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B910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524AE1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D12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ПМ виявлено недостовірні відомості та невідповідності  вимогам, установленим цим Законом, а саме:</w:t>
            </w:r>
          </w:p>
          <w:p w:rsidR="004F62CE" w:rsidRDefault="00781079" w:rsidP="00781079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відсутня назва пункту «Діаграма матеріальних потоків»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що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ипової форми спрощеного плану моніторингу, 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затверджен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ої 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>наказом Міністерства захисту довкілля та природних ресурсів України від 15 лютого 2021 р. № </w:t>
            </w:r>
            <w:hyperlink r:id="rId10" w:anchor="n6" w:history="1">
              <w:r w:rsidRPr="00781079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781079">
              <w:rPr>
                <w:rFonts w:ascii="Times New Roman" w:hAnsi="Times New Roman" w:cs="Times New Roman"/>
                <w:sz w:val="20"/>
                <w:szCs w:val="20"/>
              </w:rPr>
              <w:t>, зареєстрованим у Міністерстві юстиції України 14 квітня 2021 р. за № 499/ 36121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далі </w:t>
            </w:r>
            <w:r w:rsidRPr="007810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Типова форма </w:t>
            </w:r>
            <w:r w:rsidRPr="007810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спрощеного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781079" w:rsidRPr="00D12DA2" w:rsidRDefault="00781079" w:rsidP="00781079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5A4BF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D12D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</w:t>
            </w:r>
            <w:r w:rsidRPr="00D12DA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відповідно до Порядку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0A742C" w:rsidRPr="00727177" w:rsidTr="00557BE5">
        <w:trPr>
          <w:gridAfter w:val="4"/>
          <w:wAfter w:w="12335" w:type="dxa"/>
          <w:trHeight w:val="4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597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.04.2025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19001</w:t>
            </w: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/10/25</w:t>
            </w:r>
          </w:p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42795490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Компресорна станція </w:t>
            </w:r>
            <w:r w:rsidR="00B910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</w:t>
            </w:r>
            <w:r w:rsidR="00B910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ар-37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0A742C" w:rsidRPr="00D12DA2" w:rsidRDefault="000A742C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073.0</w:t>
            </w:r>
            <w:r w:rsidR="00B910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2E5B36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D12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ПМ виявлено недостовірні відомості та невідповідності  вимогам, установленим цим Законом, а саме:</w:t>
            </w:r>
          </w:p>
          <w:p w:rsidR="004F62CE" w:rsidRDefault="008221E9" w:rsidP="008221E9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Вимог до</w:t>
            </w:r>
            <w:r w:rsidRPr="007810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спрощеного ПМ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8221E9" w:rsidRDefault="008221E9" w:rsidP="008221E9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Вимог до</w:t>
            </w:r>
            <w:r w:rsidRPr="007810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спрощеного ПМ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8221E9" w:rsidRDefault="008221E9" w:rsidP="008221E9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Вимог до</w:t>
            </w:r>
            <w:r w:rsidRPr="007810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спрощеного ПМ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8221E9" w:rsidRPr="008221E9" w:rsidRDefault="008221E9" w:rsidP="008221E9">
            <w:pPr>
              <w:spacing w:after="0" w:line="240" w:lineRule="auto"/>
              <w:ind w:right="34" w:firstLine="317"/>
              <w:jc w:val="both"/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221E9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підпункті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221E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8221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221E9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пункту 26 Порядку </w:t>
            </w:r>
            <w:r w:rsidRPr="008221E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здійснення моніторингу та звітності щодо викидів парникових газів, </w:t>
            </w:r>
            <w:r w:rsidRPr="008221E9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затвердженого постановою Кабінету Міністрів України від 23 вересня 2020 р. № 960 (</w:t>
            </w:r>
            <w:r w:rsidRPr="00822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далі </w:t>
            </w:r>
            <w:r w:rsidRPr="008221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Постанова № 960</w:t>
            </w:r>
            <w:r w:rsidRPr="008221E9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);</w:t>
            </w:r>
          </w:p>
          <w:p w:rsidR="008221E9" w:rsidRPr="00781079" w:rsidRDefault="008221E9" w:rsidP="008221E9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2.9 Розділу 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1.9 Розділу 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Вимог </w:t>
            </w:r>
            <w:r w:rsidRPr="007810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спрощеного ПМ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21E9" w:rsidRPr="00D12DA2" w:rsidRDefault="008221E9" w:rsidP="008221E9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2E5B3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D12DA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B577EE" w:rsidRPr="00727177" w:rsidTr="007E49DA">
        <w:trPr>
          <w:gridAfter w:val="4"/>
          <w:wAfter w:w="12335" w:type="dxa"/>
          <w:trHeight w:val="6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EE" w:rsidRPr="00D12DA2" w:rsidRDefault="00D12DA2" w:rsidP="00597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.04.2025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19001</w:t>
            </w: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/10/25</w:t>
            </w:r>
          </w:p>
          <w:p w:rsidR="00B577EE" w:rsidRPr="00D12DA2" w:rsidRDefault="00B577EE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EE" w:rsidRPr="00D12DA2" w:rsidRDefault="00B577EE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:rsidR="00B577EE" w:rsidRPr="00D12DA2" w:rsidRDefault="00B577EE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:rsidR="00B577EE" w:rsidRPr="00D12DA2" w:rsidRDefault="00B577EE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EE" w:rsidRPr="00D12DA2" w:rsidRDefault="00B577EE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42795490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EE" w:rsidRPr="00D12DA2" w:rsidRDefault="00B577EE" w:rsidP="00B9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Компресорна станція </w:t>
            </w:r>
          </w:p>
          <w:p w:rsidR="00B577EE" w:rsidRPr="00D12DA2" w:rsidRDefault="00B9104A" w:rsidP="00B9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Суми</w:t>
            </w:r>
            <w:r w:rsidR="00B577EE"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B577EE" w:rsidRPr="00D12DA2" w:rsidRDefault="00B577EE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073.0</w:t>
            </w:r>
            <w:r w:rsidR="00B910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EE" w:rsidRPr="00D12DA2" w:rsidRDefault="00B577EE" w:rsidP="004F62CE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D12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ПМ виявлено недостовірні відомості та невідповідності  вимогам, установленим цим Законом, а саме:</w:t>
            </w:r>
          </w:p>
          <w:p w:rsidR="008221E9" w:rsidRPr="00472B6C" w:rsidRDefault="008221E9" w:rsidP="008221E9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B6C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підпункті 1.</w:t>
            </w:r>
            <w:r w:rsidR="00CB69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72B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B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r w:rsidRPr="00472B6C">
              <w:rPr>
                <w:rFonts w:ascii="Times New Roman" w:hAnsi="Times New Roman" w:cs="Times New Roman"/>
                <w:sz w:val="20"/>
                <w:szCs w:val="20"/>
              </w:rPr>
              <w:t xml:space="preserve"> ПМ, суперечить інформації, наведеній у підпункт</w:t>
            </w:r>
            <w:r w:rsidR="00CB6937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72B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CB69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B6C">
              <w:rPr>
                <w:rFonts w:ascii="Times New Roman" w:hAnsi="Times New Roman" w:cs="Times New Roman"/>
                <w:sz w:val="20"/>
                <w:szCs w:val="20"/>
              </w:rPr>
              <w:t>Розділу ІІІ ПМ;</w:t>
            </w:r>
          </w:p>
          <w:p w:rsidR="00CB6937" w:rsidRPr="00781079" w:rsidRDefault="00CB6937" w:rsidP="00CB6937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2.9 Розділу 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1.9 Розділу 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Вимог </w:t>
            </w:r>
            <w:r w:rsidRPr="007810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спрощеного ПМ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577EE" w:rsidRPr="00D12DA2" w:rsidRDefault="00B577EE" w:rsidP="00B577EE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EE" w:rsidRPr="00D12DA2" w:rsidRDefault="00B577EE" w:rsidP="002E5B3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нової заяви про надання адміністративної послуги та документів для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D12DA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B577EE" w:rsidRPr="00D12DA2" w:rsidRDefault="00B577EE" w:rsidP="002E5B3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7EE" w:rsidRPr="00727177" w:rsidTr="007E49DA">
        <w:trPr>
          <w:gridAfter w:val="4"/>
          <w:wAfter w:w="12335" w:type="dxa"/>
          <w:trHeight w:val="6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EE" w:rsidRPr="00D12DA2" w:rsidRDefault="00D12DA2" w:rsidP="00597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.04.2025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19001</w:t>
            </w: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/10/25</w:t>
            </w:r>
          </w:p>
          <w:p w:rsidR="00B577EE" w:rsidRPr="00D12DA2" w:rsidRDefault="00B577EE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EE" w:rsidRPr="00D12DA2" w:rsidRDefault="00B577EE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:rsidR="00B577EE" w:rsidRPr="00D12DA2" w:rsidRDefault="00B577EE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:rsidR="00B577EE" w:rsidRPr="00D12DA2" w:rsidRDefault="00B577EE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EE" w:rsidRPr="00D12DA2" w:rsidRDefault="00B577EE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42795490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EE" w:rsidRPr="00D12DA2" w:rsidRDefault="00B577EE" w:rsidP="00B9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Компресорна станція </w:t>
            </w:r>
          </w:p>
          <w:p w:rsidR="00B577EE" w:rsidRPr="00D12DA2" w:rsidRDefault="00B9104A" w:rsidP="00B9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ар-19</w:t>
            </w:r>
            <w:r w:rsidR="00B577EE"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B577EE" w:rsidRPr="00D12DA2" w:rsidRDefault="00B577EE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073.0</w:t>
            </w:r>
            <w:r w:rsidR="00B910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EE" w:rsidRPr="00D12DA2" w:rsidRDefault="00B577EE" w:rsidP="00B577EE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D12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ПМ виявлено недостовірні відомості та невідповідності  вимогам, установленим цим Законом, а саме:</w:t>
            </w:r>
          </w:p>
          <w:p w:rsidR="00557BE5" w:rsidRDefault="00CB6937" w:rsidP="00CB6937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підпункт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>не відповідає 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>ипової форми спрощеного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ПМ;</w:t>
            </w:r>
          </w:p>
          <w:p w:rsidR="00CB6937" w:rsidRPr="00781079" w:rsidRDefault="00CB6937" w:rsidP="00CB6937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Вимог </w:t>
            </w:r>
            <w:r w:rsidRPr="007810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спрощеного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B6937" w:rsidRDefault="00CB6937" w:rsidP="00CB6937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ПМ,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суперечить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6EC4" w:rsidRPr="00472B6C">
              <w:rPr>
                <w:rFonts w:ascii="Times New Roman" w:hAnsi="Times New Roman" w:cs="Times New Roman"/>
                <w:sz w:val="20"/>
                <w:szCs w:val="20"/>
              </w:rPr>
              <w:t>інформації, наведеній у</w:t>
            </w:r>
            <w:r w:rsidR="00496EC4"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6EC4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="00496EC4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6EC4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496EC4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10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</w:t>
            </w:r>
            <w:r w:rsidR="00496E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та не відповідає вимогам </w:t>
            </w:r>
            <w:r w:rsidR="00496EC4" w:rsidRPr="00781079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="00496EC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96EC4"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6E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96EC4"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6E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96EC4"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="00496EC4"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496EC4"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Вимог </w:t>
            </w:r>
            <w:r w:rsidR="00496EC4" w:rsidRPr="007810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спрощеного ПМ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496EC4" w:rsidRDefault="00496EC4" w:rsidP="00CB6937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Вимог </w:t>
            </w:r>
            <w:r w:rsidRPr="007810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спрощеного ПМ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CB6937" w:rsidRDefault="00496EC4" w:rsidP="00496EC4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21E9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підпункті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221E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8221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221E9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пункту 26</w:t>
            </w:r>
            <w:r w:rsidRPr="008221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Постанов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8221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960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496EC4" w:rsidRPr="00781079" w:rsidRDefault="00496EC4" w:rsidP="00496EC4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2.9 Розділу 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1.9 Розділу 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Вимог </w:t>
            </w:r>
            <w:r w:rsidRPr="007810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спрощеного ПМ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96EC4" w:rsidRPr="00D12DA2" w:rsidRDefault="00496EC4" w:rsidP="00496EC4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EE" w:rsidRPr="00D12DA2" w:rsidRDefault="00B577EE" w:rsidP="002E5B3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D12DA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B577EE" w:rsidRPr="00727177" w:rsidTr="00B577EE">
        <w:trPr>
          <w:gridAfter w:val="4"/>
          <w:wAfter w:w="12335" w:type="dxa"/>
          <w:trHeight w:val="4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EE" w:rsidRPr="00D12DA2" w:rsidRDefault="00D12DA2" w:rsidP="00597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.04.2025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19001</w:t>
            </w: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/10/25</w:t>
            </w:r>
          </w:p>
          <w:p w:rsidR="00B577EE" w:rsidRPr="00D12DA2" w:rsidRDefault="00B577EE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EE" w:rsidRPr="00D12DA2" w:rsidRDefault="00B577EE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:rsidR="00B577EE" w:rsidRPr="00D12DA2" w:rsidRDefault="00B577EE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:rsidR="00B577EE" w:rsidRPr="00D12DA2" w:rsidRDefault="00B577EE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EE" w:rsidRPr="00D12DA2" w:rsidRDefault="00B577EE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42795490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EE" w:rsidRPr="00D12DA2" w:rsidRDefault="00B577EE" w:rsidP="00B9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Компресорна станція </w:t>
            </w:r>
          </w:p>
          <w:p w:rsidR="00B577EE" w:rsidRPr="00D12DA2" w:rsidRDefault="00B577EE" w:rsidP="00B9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</w:t>
            </w:r>
            <w:r w:rsidR="00B910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альне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B577EE" w:rsidRPr="00D12DA2" w:rsidRDefault="00B577EE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073.0</w:t>
            </w:r>
            <w:r w:rsidR="00B910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EE" w:rsidRPr="00D12DA2" w:rsidRDefault="00B577EE" w:rsidP="00B577EE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D12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ПМ виявлено недостовірні відомості та невідповідності  вимогам, установленим цим Законом, а саме:</w:t>
            </w:r>
          </w:p>
          <w:p w:rsidR="00557BE5" w:rsidRPr="00D12DA2" w:rsidRDefault="00496EC4" w:rsidP="00496EC4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9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221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221E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8221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221E9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</w:t>
            </w:r>
            <w:r w:rsidRPr="00822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пункту 26</w:t>
            </w:r>
            <w:r w:rsidRPr="008221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Постанов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8221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960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EE" w:rsidRPr="00D12DA2" w:rsidRDefault="00B577EE" w:rsidP="002E5B3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адміністративної послуги та документів для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D12DA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B577EE" w:rsidRPr="00D12DA2" w:rsidRDefault="00B577EE" w:rsidP="002E5B3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B577EE" w:rsidRPr="00727177" w:rsidTr="007E49DA">
        <w:trPr>
          <w:gridAfter w:val="4"/>
          <w:wAfter w:w="12335" w:type="dxa"/>
          <w:trHeight w:val="6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EE" w:rsidRPr="00D12DA2" w:rsidRDefault="00D12DA2" w:rsidP="00597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.04.2025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19001</w:t>
            </w: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/10/25</w:t>
            </w:r>
          </w:p>
          <w:p w:rsidR="00B577EE" w:rsidRPr="00D12DA2" w:rsidRDefault="00B577EE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EE" w:rsidRPr="00D12DA2" w:rsidRDefault="00B577EE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:rsidR="00B577EE" w:rsidRPr="00D12DA2" w:rsidRDefault="00B577EE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:rsidR="00B577EE" w:rsidRPr="00D12DA2" w:rsidRDefault="00B577EE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EE" w:rsidRPr="00D12DA2" w:rsidRDefault="00B577EE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42795490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EE" w:rsidRPr="00D12DA2" w:rsidRDefault="00B577EE" w:rsidP="00B9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Компресорна станція </w:t>
            </w:r>
          </w:p>
          <w:p w:rsidR="00B577EE" w:rsidRPr="00D12DA2" w:rsidRDefault="00B9104A" w:rsidP="00B9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Кіровоградська</w:t>
            </w:r>
            <w:r w:rsidR="00B577EE"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B577EE" w:rsidRPr="00D12DA2" w:rsidRDefault="00B577EE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073.0</w:t>
            </w:r>
            <w:r w:rsidR="00B910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EE" w:rsidRPr="00D12DA2" w:rsidRDefault="00B577EE" w:rsidP="00B577EE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D12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ПМ виявлено недостовірні відомості та невідповідності  вимогам, установленим цим Законом, а саме:</w:t>
            </w:r>
          </w:p>
          <w:p w:rsidR="00B577EE" w:rsidRDefault="00496EC4" w:rsidP="00496EC4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ПМ,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суперечить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B6C">
              <w:rPr>
                <w:rFonts w:ascii="Times New Roman" w:hAnsi="Times New Roman" w:cs="Times New Roman"/>
                <w:sz w:val="20"/>
                <w:szCs w:val="20"/>
              </w:rPr>
              <w:t>інформації, наведеній у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 та 2.2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10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496EC4" w:rsidRDefault="00496EC4" w:rsidP="00496EC4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Вимог </w:t>
            </w:r>
            <w:r w:rsidRPr="007810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спрощеного ПМ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496EC4" w:rsidRPr="00781079" w:rsidRDefault="00496EC4" w:rsidP="00496EC4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2.9 Розділу 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1.9 Розділу 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Вимог </w:t>
            </w:r>
            <w:r w:rsidRPr="007810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спрощеного ПМ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96EC4" w:rsidRPr="00D12DA2" w:rsidRDefault="00496EC4" w:rsidP="00496EC4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EE" w:rsidRPr="00D12DA2" w:rsidRDefault="00B577EE" w:rsidP="002E5B3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D12DA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B577EE" w:rsidRPr="00D12DA2" w:rsidRDefault="00B577EE" w:rsidP="002E5B3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B9104A" w:rsidRPr="00727177" w:rsidTr="007E49DA">
        <w:trPr>
          <w:gridAfter w:val="4"/>
          <w:wAfter w:w="12335" w:type="dxa"/>
          <w:trHeight w:val="6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597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.04.2025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19001</w:t>
            </w: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/10/25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42795490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Компресорна станція 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Іллінці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073.0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B9104A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D12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ПМ виявлено недостовірні відомості та невідповідності  вимогам, установленим цим Законом, а саме:</w:t>
            </w:r>
          </w:p>
          <w:p w:rsidR="00496EC4" w:rsidRDefault="00496EC4" w:rsidP="00496EC4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підпункт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>не відповідає 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>ипової форми спрощеного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ПМ;</w:t>
            </w:r>
          </w:p>
          <w:p w:rsidR="00496EC4" w:rsidRPr="00781079" w:rsidRDefault="00496EC4" w:rsidP="00496EC4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Вимог </w:t>
            </w:r>
            <w:r w:rsidRPr="007810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спрощеного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96EC4" w:rsidRDefault="00496EC4" w:rsidP="00496EC4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Вимог </w:t>
            </w:r>
            <w:r w:rsidRPr="007810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спрощеного ПМ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496EC4" w:rsidRDefault="00496EC4" w:rsidP="00496EC4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21E9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підпункті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221E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8221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221E9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пункту 26</w:t>
            </w:r>
            <w:r w:rsidRPr="008221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Постанов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8221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960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496EC4" w:rsidRPr="00781079" w:rsidRDefault="00496EC4" w:rsidP="00496EC4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2.9 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Розділу 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1.9 Розділу 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Вимог </w:t>
            </w:r>
            <w:r w:rsidRPr="007810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спрощеного ПМ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9104A" w:rsidRPr="00D12DA2" w:rsidRDefault="00B9104A" w:rsidP="00B9104A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B9104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D12DA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B9104A" w:rsidRPr="00D12DA2" w:rsidRDefault="00B9104A" w:rsidP="00B9104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B9104A" w:rsidRPr="00727177" w:rsidTr="007E49DA">
        <w:trPr>
          <w:gridAfter w:val="4"/>
          <w:wAfter w:w="12335" w:type="dxa"/>
          <w:trHeight w:val="6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597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.04.2025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19001</w:t>
            </w: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/10/25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42795490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Компресорна станція 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Гусятин-20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073.0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B9104A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D12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ПМ виявлено недостовірні відомості та невідповідності  вимогам, установленим цим Законом, а саме:</w:t>
            </w:r>
          </w:p>
          <w:p w:rsidR="00496EC4" w:rsidRDefault="00496EC4" w:rsidP="00496EC4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підпункт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>не відповідає 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>ипової форми спрощеного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ПМ;</w:t>
            </w:r>
          </w:p>
          <w:p w:rsidR="00496EC4" w:rsidRPr="00781079" w:rsidRDefault="00496EC4" w:rsidP="00496EC4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Вимог </w:t>
            </w:r>
            <w:r w:rsidRPr="007810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спрощеного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96EC4" w:rsidRDefault="00496EC4" w:rsidP="00496EC4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Вимог </w:t>
            </w:r>
            <w:r w:rsidRPr="007810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спрощеного ПМ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496EC4" w:rsidRDefault="00496EC4" w:rsidP="00496EC4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21E9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підпункті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221E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8221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221E9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пункту 26</w:t>
            </w:r>
            <w:r w:rsidRPr="008221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Постанов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8221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960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496EC4" w:rsidRPr="00781079" w:rsidRDefault="00496EC4" w:rsidP="00496EC4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2.9 Розділу 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1.9 Розділу 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Вимог </w:t>
            </w:r>
            <w:r w:rsidRPr="007810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спрощеного ПМ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9104A" w:rsidRPr="00D12DA2" w:rsidRDefault="00B9104A" w:rsidP="00B9104A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B9104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D12DA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B9104A" w:rsidRPr="00D12DA2" w:rsidRDefault="00B9104A" w:rsidP="00B9104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B9104A" w:rsidRPr="00727177" w:rsidTr="007E49DA">
        <w:trPr>
          <w:gridAfter w:val="4"/>
          <w:wAfter w:w="12335" w:type="dxa"/>
          <w:trHeight w:val="6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597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.04.2025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19001</w:t>
            </w: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/10/25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42795490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Компресорна станція 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Гребінківська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073.0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B9104A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D12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ПМ виявлено недостовірні відомості та невідповідності  вимогам, установленим цим Законом, а саме:</w:t>
            </w:r>
          </w:p>
          <w:p w:rsidR="00496EC4" w:rsidRDefault="00496EC4" w:rsidP="00496EC4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ПМ,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суперечить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B6C">
              <w:rPr>
                <w:rFonts w:ascii="Times New Roman" w:hAnsi="Times New Roman" w:cs="Times New Roman"/>
                <w:sz w:val="20"/>
                <w:szCs w:val="20"/>
              </w:rPr>
              <w:t>інформації, наведеній у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 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10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B9104A" w:rsidRPr="00D12DA2" w:rsidRDefault="00496EC4" w:rsidP="00FF64BC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ПМ,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суперечить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B6C">
              <w:rPr>
                <w:rFonts w:ascii="Times New Roman" w:hAnsi="Times New Roman" w:cs="Times New Roman"/>
                <w:sz w:val="20"/>
                <w:szCs w:val="20"/>
              </w:rPr>
              <w:t>інформації, наведеній у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F64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10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</w:t>
            </w:r>
            <w:r w:rsidR="00FF64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B9104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D12DA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B9104A" w:rsidRPr="00D12DA2" w:rsidRDefault="00B9104A" w:rsidP="00B9104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B9104A" w:rsidRPr="00727177" w:rsidTr="007E49DA">
        <w:trPr>
          <w:gridAfter w:val="4"/>
          <w:wAfter w:w="12335" w:type="dxa"/>
          <w:trHeight w:val="6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597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.04.2025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18995</w:t>
            </w: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/10/25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«ОПЕРАТОР ГАЗОТРАНСПОРТНОЇ СИСТЕМИ УКРАЇНИ»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42795490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Компресорна станція 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Зіньків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073.0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B9104A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Відповідно до статей 11 та 12 Закону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D12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ПМ виявлено недостовірні </w:t>
            </w:r>
            <w:r w:rsidRPr="00D12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відомості та невідповідності  вимогам, установленим цим Законом, а саме:</w:t>
            </w:r>
          </w:p>
          <w:p w:rsidR="00FF64BC" w:rsidRPr="00FF64BC" w:rsidRDefault="00FF64BC" w:rsidP="00FF64BC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64BC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1.2 Розділу ІІІ ПМ, суперечить інформації, наведеній у підпунктах 1.1 та 2.2 </w:t>
            </w:r>
            <w:r w:rsidRPr="00FF64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Розділу ІІІ </w:t>
            </w:r>
            <w:r w:rsidRPr="00FF64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ПМ;</w:t>
            </w:r>
          </w:p>
          <w:p w:rsidR="00FF64BC" w:rsidRDefault="00FF64BC" w:rsidP="00FF64BC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ПМ,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суперечить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B6C">
              <w:rPr>
                <w:rFonts w:ascii="Times New Roman" w:hAnsi="Times New Roman" w:cs="Times New Roman"/>
                <w:sz w:val="20"/>
                <w:szCs w:val="20"/>
              </w:rPr>
              <w:t>інформації, наведеній у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10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та не відповідає вимогам Додатку 1 до Постанови № 960</w:t>
            </w:r>
            <w:r w:rsidR="00122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122290" w:rsidRPr="00781079" w:rsidRDefault="00122290" w:rsidP="0012229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2.9 Розділу 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1.9 Розділу 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Вимог </w:t>
            </w:r>
            <w:r w:rsidRPr="007810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спрощеного ПМ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9104A" w:rsidRPr="00D12DA2" w:rsidRDefault="00B9104A" w:rsidP="00B9104A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B9104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підставою для прийняття рішення про відмову у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D12DA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B9104A" w:rsidRPr="00D12DA2" w:rsidRDefault="00B9104A" w:rsidP="00B9104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B9104A" w:rsidRPr="00727177" w:rsidTr="007E49DA">
        <w:trPr>
          <w:gridAfter w:val="4"/>
          <w:wAfter w:w="12335" w:type="dxa"/>
          <w:trHeight w:val="6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597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.04.2025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18995</w:t>
            </w: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/10/25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42795490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Компресорна станція 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Ромни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073.0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B9104A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D12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ПМ виявлено недостовірні відомості та невідповідності  вимогам, установленим цим Законом, а саме:</w:t>
            </w:r>
          </w:p>
          <w:p w:rsidR="00122290" w:rsidRPr="00FF64BC" w:rsidRDefault="00122290" w:rsidP="00122290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64BC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1.2 Розділу ІІІ ПМ, суперечить інформації, наведеній у підпунктах 1.1 та 2.2 </w:t>
            </w:r>
            <w:r w:rsidRPr="00FF64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Розділу ІІІ </w:t>
            </w:r>
            <w:r w:rsidRPr="00FF64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ПМ;</w:t>
            </w:r>
          </w:p>
          <w:p w:rsidR="00B9104A" w:rsidRDefault="00122290" w:rsidP="00472B6C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ПМ,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суперечить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B6C">
              <w:rPr>
                <w:rFonts w:ascii="Times New Roman" w:hAnsi="Times New Roman" w:cs="Times New Roman"/>
                <w:sz w:val="20"/>
                <w:szCs w:val="20"/>
              </w:rPr>
              <w:t>інформації, наведеній у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10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та не відповідає вимогам Додатку 1 до Постанови № 960.</w:t>
            </w:r>
          </w:p>
          <w:p w:rsidR="00122290" w:rsidRPr="00D12DA2" w:rsidRDefault="00122290" w:rsidP="00472B6C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B9104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D12DA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B9104A" w:rsidRPr="00D12DA2" w:rsidRDefault="00B9104A" w:rsidP="00B9104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B9104A" w:rsidRPr="00727177" w:rsidTr="007E49DA">
        <w:trPr>
          <w:gridAfter w:val="4"/>
          <w:wAfter w:w="12335" w:type="dxa"/>
          <w:trHeight w:val="6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597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.04.2025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18995</w:t>
            </w: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/10/25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42795490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Компресорна станція 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Гайсин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073.0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B9104A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D12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ПМ виявлено недостовірні відомості та невідповідності  вимогам, установленим цим Законом, а саме:</w:t>
            </w:r>
          </w:p>
          <w:p w:rsidR="00122290" w:rsidRDefault="00122290" w:rsidP="0012229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підпункт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>не відповідає 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>ипової форми спрощеного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ПМ;</w:t>
            </w:r>
          </w:p>
          <w:p w:rsidR="00122290" w:rsidRPr="00FF64BC" w:rsidRDefault="00122290" w:rsidP="00122290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ПМ, </w:t>
            </w:r>
            <w:r w:rsidRPr="00FF64BC">
              <w:rPr>
                <w:rFonts w:ascii="Times New Roman" w:hAnsi="Times New Roman" w:cs="Times New Roman"/>
                <w:sz w:val="20"/>
                <w:szCs w:val="20"/>
              </w:rPr>
              <w:t>суперечить інформації, наведеній у підпунктах 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F64BC">
              <w:rPr>
                <w:rFonts w:ascii="Times New Roman" w:hAnsi="Times New Roman" w:cs="Times New Roman"/>
                <w:sz w:val="20"/>
                <w:szCs w:val="20"/>
              </w:rPr>
              <w:t xml:space="preserve"> 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2.3</w:t>
            </w:r>
            <w:r w:rsidRPr="00FF64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4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Розділу ІІІ </w:t>
            </w:r>
            <w:r w:rsidRPr="00FF64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ПМ;</w:t>
            </w:r>
          </w:p>
          <w:p w:rsidR="00122290" w:rsidRDefault="00122290" w:rsidP="00122290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10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інформація, наведена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Вимог </w:t>
            </w:r>
            <w:r w:rsidRPr="007810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спрощеного ПМ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122290" w:rsidRDefault="00122290" w:rsidP="00122290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21E9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підпункті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221E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8221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221E9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пункту 26</w:t>
            </w:r>
            <w:r w:rsidRPr="008221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Постанов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8221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960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122290" w:rsidRPr="00781079" w:rsidRDefault="00122290" w:rsidP="0012229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2.9 Розділу 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1.9 Розділу 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Вимог </w:t>
            </w:r>
            <w:r w:rsidRPr="007810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спрощеного ПМ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9104A" w:rsidRPr="00D12DA2" w:rsidRDefault="00B9104A" w:rsidP="00472B6C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B9104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D12DA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B9104A" w:rsidRPr="00D12DA2" w:rsidRDefault="00B9104A" w:rsidP="00B9104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B9104A" w:rsidRPr="00727177" w:rsidTr="007E49DA">
        <w:trPr>
          <w:gridAfter w:val="4"/>
          <w:wAfter w:w="12335" w:type="dxa"/>
          <w:trHeight w:val="6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597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.04.2025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18995</w:t>
            </w: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/10/25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42795490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Компресорна станція 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Південнобузька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073.0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B9104A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D12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ПМ виявлено недостовірні відомості та невідповідності  вимогам, установленим цим Законом, а саме:</w:t>
            </w:r>
          </w:p>
          <w:p w:rsidR="00122290" w:rsidRPr="00FF64BC" w:rsidRDefault="00122290" w:rsidP="00122290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ПМ, </w:t>
            </w:r>
            <w:r w:rsidRPr="00FF64BC">
              <w:rPr>
                <w:rFonts w:ascii="Times New Roman" w:hAnsi="Times New Roman" w:cs="Times New Roman"/>
                <w:sz w:val="20"/>
                <w:szCs w:val="20"/>
              </w:rPr>
              <w:t>суперечить інформації, наведеній у підпунктах 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2.3</w:t>
            </w:r>
            <w:r w:rsidRPr="00FF64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4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Розділу ІІІ </w:t>
            </w:r>
            <w:r w:rsidRPr="00FF64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ПМ;</w:t>
            </w:r>
          </w:p>
          <w:p w:rsidR="00122290" w:rsidRPr="00FF64BC" w:rsidRDefault="00122290" w:rsidP="003D2781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ПМ, </w:t>
            </w:r>
            <w:r w:rsidRPr="00FF64BC">
              <w:rPr>
                <w:rFonts w:ascii="Times New Roman" w:hAnsi="Times New Roman" w:cs="Times New Roman"/>
                <w:sz w:val="20"/>
                <w:szCs w:val="20"/>
              </w:rPr>
              <w:t>суперечить інформації, наведеній у підпункт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FF64BC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FF64BC">
              <w:rPr>
                <w:rFonts w:ascii="Times New Roman" w:hAnsi="Times New Roman" w:cs="Times New Roman"/>
                <w:sz w:val="20"/>
                <w:szCs w:val="20"/>
              </w:rPr>
              <w:t xml:space="preserve">Розділу ІІІ </w:t>
            </w:r>
            <w:r w:rsidRPr="00FF64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ПМ;</w:t>
            </w:r>
          </w:p>
          <w:p w:rsidR="00122290" w:rsidRDefault="00122290" w:rsidP="003D2781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Вимог </w:t>
            </w:r>
            <w:r w:rsidRPr="007810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спрощеного ПМ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122290" w:rsidRPr="00781079" w:rsidRDefault="00122290" w:rsidP="0012229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2.9 Розділу 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1.9 Розділу 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Вимог </w:t>
            </w:r>
            <w:r w:rsidRPr="007810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спрощеного ПМ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9104A" w:rsidRPr="00D12DA2" w:rsidRDefault="00B9104A" w:rsidP="00472B6C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B9104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D12DA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B9104A" w:rsidRPr="00D12DA2" w:rsidRDefault="00B9104A" w:rsidP="00B9104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B9104A" w:rsidRPr="00727177" w:rsidTr="007E49DA">
        <w:trPr>
          <w:gridAfter w:val="4"/>
          <w:wAfter w:w="12335" w:type="dxa"/>
          <w:trHeight w:val="6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597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.04.2025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18995</w:t>
            </w: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/10/25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42795490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Компресорна станція 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Задніпровська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073.0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B9104A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D12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ПМ виявлено недостовірні відомості та невідповідності  вимогам, установленим цим Законом, а саме:</w:t>
            </w:r>
          </w:p>
          <w:p w:rsidR="00122290" w:rsidRDefault="00122290" w:rsidP="00122290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 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ПМ, </w:t>
            </w:r>
            <w:r w:rsidRPr="00FF64BC">
              <w:rPr>
                <w:rFonts w:ascii="Times New Roman" w:hAnsi="Times New Roman" w:cs="Times New Roman"/>
                <w:sz w:val="20"/>
                <w:szCs w:val="20"/>
              </w:rPr>
              <w:t>суперечить інформації, наведеній у підпунктах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 2.2 та 2.3</w:t>
            </w:r>
            <w:r w:rsidRPr="00FF64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4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Розділу ІІІ </w:t>
            </w:r>
            <w:r w:rsidRPr="00FF64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ПМ;</w:t>
            </w:r>
          </w:p>
          <w:p w:rsidR="003D2781" w:rsidRPr="00FF64BC" w:rsidRDefault="003D2781" w:rsidP="003D2781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</w:t>
            </w:r>
            <w:r w:rsidR="007448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448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ПМ, </w:t>
            </w:r>
            <w:r w:rsidRPr="00FF64BC">
              <w:rPr>
                <w:rFonts w:ascii="Times New Roman" w:hAnsi="Times New Roman" w:cs="Times New Roman"/>
                <w:sz w:val="20"/>
                <w:szCs w:val="20"/>
              </w:rPr>
              <w:t>суперечить інформації, наведеній у підпункт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FF64BC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  <w:r w:rsidR="007448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4BC">
              <w:rPr>
                <w:rFonts w:ascii="Times New Roman" w:hAnsi="Times New Roman" w:cs="Times New Roman"/>
                <w:sz w:val="20"/>
                <w:szCs w:val="20"/>
              </w:rPr>
              <w:t xml:space="preserve">Розділу ІІІ </w:t>
            </w:r>
            <w:r w:rsidRPr="00FF64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ПМ;</w:t>
            </w:r>
          </w:p>
          <w:p w:rsidR="003D2781" w:rsidRPr="00781079" w:rsidRDefault="003D2781" w:rsidP="003D2781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2.9 Розділу 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1.9 Розділу 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Вимог </w:t>
            </w:r>
            <w:r w:rsidRPr="007810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спрощеного ПМ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9104A" w:rsidRPr="00D12DA2" w:rsidRDefault="00B9104A" w:rsidP="00472B6C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B9104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D12D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</w:t>
            </w:r>
            <w:r w:rsidRPr="00D12DA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відповідно до Порядку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B9104A" w:rsidRPr="00D12DA2" w:rsidRDefault="00B9104A" w:rsidP="00B9104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B9104A" w:rsidRPr="00727177" w:rsidTr="007E49DA">
        <w:trPr>
          <w:gridAfter w:val="4"/>
          <w:wAfter w:w="12335" w:type="dxa"/>
          <w:trHeight w:val="6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597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.04.2025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18995</w:t>
            </w: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/10/25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42795490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Компресорна станція 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Олександрівка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073.0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B9104A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D12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ПМ виявлено недостовірні відомості та невідповідності  вимогам, установленим цим Законом, а саме:</w:t>
            </w:r>
          </w:p>
          <w:p w:rsidR="003D2781" w:rsidRDefault="003D2781" w:rsidP="003D2781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1.2 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ПМ, </w:t>
            </w:r>
            <w:r w:rsidRPr="00FF64BC">
              <w:rPr>
                <w:rFonts w:ascii="Times New Roman" w:hAnsi="Times New Roman" w:cs="Times New Roman"/>
                <w:sz w:val="20"/>
                <w:szCs w:val="20"/>
              </w:rPr>
              <w:t>суперечить інформації, наведеній у підпункт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FF64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 </w:t>
            </w:r>
            <w:r w:rsidRPr="00FF64BC">
              <w:rPr>
                <w:rFonts w:ascii="Times New Roman" w:hAnsi="Times New Roman" w:cs="Times New Roman"/>
                <w:sz w:val="20"/>
                <w:szCs w:val="20"/>
              </w:rPr>
              <w:t xml:space="preserve">Розділу ІІІ </w:t>
            </w:r>
            <w:r w:rsidRPr="00FF64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ПМ;</w:t>
            </w:r>
          </w:p>
          <w:p w:rsidR="003D2781" w:rsidRPr="00781079" w:rsidRDefault="003D2781" w:rsidP="003D2781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Вимог </w:t>
            </w:r>
            <w:r w:rsidRPr="007810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спрощеного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9104A" w:rsidRDefault="003D2781" w:rsidP="003D2781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 та 3.1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Вимог </w:t>
            </w:r>
            <w:r w:rsidRPr="007810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спрощеного ПМ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3D2781" w:rsidRPr="00781079" w:rsidRDefault="003D2781" w:rsidP="003D2781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2.9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3.9 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1.9 Розділу 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Вимог </w:t>
            </w:r>
            <w:r w:rsidRPr="007810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спрощеного ПМ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2781" w:rsidRPr="00D12DA2" w:rsidRDefault="003D2781" w:rsidP="003D2781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B9104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D12DA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B9104A" w:rsidRPr="00D12DA2" w:rsidRDefault="00B9104A" w:rsidP="00B9104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B9104A" w:rsidRPr="00727177" w:rsidTr="007E49DA">
        <w:trPr>
          <w:gridAfter w:val="4"/>
          <w:wAfter w:w="12335" w:type="dxa"/>
          <w:trHeight w:val="6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597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.04.2025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18995</w:t>
            </w: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/10/25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42795490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Компресорна станція 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Гусятин-38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B9104A" w:rsidRPr="00D12DA2" w:rsidRDefault="00B9104A" w:rsidP="00B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073.0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B9104A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D12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ПМ виявлено недостовірні відомості та невідповідності  вимогам, установленим цим Законом, а саме:</w:t>
            </w:r>
          </w:p>
          <w:p w:rsidR="003D2781" w:rsidRDefault="003D2781" w:rsidP="003D2781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підпункт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>не відповідає 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>ипової форми спрощеного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ПМ;</w:t>
            </w:r>
          </w:p>
          <w:p w:rsidR="003D2781" w:rsidRDefault="003D2781" w:rsidP="003D2781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підпункт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підпункту </w:t>
            </w:r>
            <w:r w:rsidR="007448A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>ипової форми спрощеного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ПМ;</w:t>
            </w:r>
          </w:p>
          <w:p w:rsidR="003D2781" w:rsidRPr="00FF64BC" w:rsidRDefault="003D2781" w:rsidP="003D2781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ПМ, </w:t>
            </w:r>
            <w:r w:rsidRPr="00FF64BC">
              <w:rPr>
                <w:rFonts w:ascii="Times New Roman" w:hAnsi="Times New Roman" w:cs="Times New Roman"/>
                <w:sz w:val="20"/>
                <w:szCs w:val="20"/>
              </w:rPr>
              <w:t>суперечить інформації, наведеній у підпункт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FF64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F64BC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4BC">
              <w:rPr>
                <w:rFonts w:ascii="Times New Roman" w:hAnsi="Times New Roman" w:cs="Times New Roman"/>
                <w:sz w:val="20"/>
                <w:szCs w:val="20"/>
              </w:rPr>
              <w:t xml:space="preserve">Розділу ІІІ </w:t>
            </w:r>
            <w:r w:rsidRPr="00FF64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ПМ;</w:t>
            </w:r>
          </w:p>
          <w:p w:rsidR="003D2781" w:rsidRPr="00781079" w:rsidRDefault="003D2781" w:rsidP="003D2781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2781" w:rsidRDefault="003D2781" w:rsidP="003D2781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10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інформація, наведена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Вимог </w:t>
            </w:r>
            <w:r w:rsidRPr="007810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спрощеного ПМ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3D2781" w:rsidRDefault="003D2781" w:rsidP="003D2781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21E9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підпункті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221E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8221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221E9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пункту 26</w:t>
            </w:r>
            <w:r w:rsidRPr="008221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Постанов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8221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960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3D2781" w:rsidRPr="00781079" w:rsidRDefault="003D2781" w:rsidP="003D2781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2.9 Розділу 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1.9 Розділу </w:t>
            </w:r>
            <w:r w:rsidRPr="0078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 xml:space="preserve"> Вимог </w:t>
            </w:r>
            <w:r w:rsidRPr="007810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спрощеного ПМ</w:t>
            </w:r>
            <w:r w:rsidRPr="0078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9104A" w:rsidRPr="00D12DA2" w:rsidRDefault="00B9104A" w:rsidP="00472B6C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4A" w:rsidRPr="00D12DA2" w:rsidRDefault="00B9104A" w:rsidP="00B9104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D12DA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B9104A" w:rsidRPr="00D12DA2" w:rsidRDefault="00B9104A" w:rsidP="00B9104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_______________</w:t>
      </w:r>
      <w:r w:rsidR="00B577EE">
        <w:rPr>
          <w:color w:val="333333"/>
          <w:shd w:val="clear" w:color="auto" w:fill="FFFFFF"/>
        </w:rPr>
        <w:t>_____________</w:t>
      </w:r>
      <w:r>
        <w:rPr>
          <w:color w:val="333333"/>
          <w:shd w:val="clear" w:color="auto" w:fill="FFFFFF"/>
        </w:rPr>
        <w:t>_________________</w:t>
      </w:r>
    </w:p>
    <w:sectPr w:rsidR="000A7480" w:rsidSect="00557BE5">
      <w:headerReference w:type="default" r:id="rId11"/>
      <w:pgSz w:w="16838" w:h="11906" w:orient="landscape"/>
      <w:pgMar w:top="993" w:right="850" w:bottom="568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34C" w:rsidRDefault="00DF534C">
      <w:pPr>
        <w:spacing w:after="0" w:line="240" w:lineRule="auto"/>
      </w:pPr>
      <w:r>
        <w:separator/>
      </w:r>
    </w:p>
  </w:endnote>
  <w:endnote w:type="continuationSeparator" w:id="0">
    <w:p w:rsidR="00DF534C" w:rsidRDefault="00DF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34C" w:rsidRDefault="00DF534C">
      <w:pPr>
        <w:spacing w:after="0" w:line="240" w:lineRule="auto"/>
      </w:pPr>
      <w:r>
        <w:separator/>
      </w:r>
    </w:p>
  </w:footnote>
  <w:footnote w:type="continuationSeparator" w:id="0">
    <w:p w:rsidR="00DF534C" w:rsidRDefault="00DF5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F64BC" w:rsidRPr="00197A57" w:rsidRDefault="004F0620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FF64BC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2424F0" w:rsidRPr="002424F0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FF64BC" w:rsidRDefault="00FF64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13DF9"/>
    <w:rsid w:val="00036936"/>
    <w:rsid w:val="000444E4"/>
    <w:rsid w:val="00052211"/>
    <w:rsid w:val="000665A7"/>
    <w:rsid w:val="00077B91"/>
    <w:rsid w:val="00086448"/>
    <w:rsid w:val="000972A8"/>
    <w:rsid w:val="00097F52"/>
    <w:rsid w:val="000A4BCD"/>
    <w:rsid w:val="000A742C"/>
    <w:rsid w:val="000A7480"/>
    <w:rsid w:val="000A7985"/>
    <w:rsid w:val="000B190A"/>
    <w:rsid w:val="000B7FCA"/>
    <w:rsid w:val="000C0830"/>
    <w:rsid w:val="000D2140"/>
    <w:rsid w:val="000D6692"/>
    <w:rsid w:val="000E165D"/>
    <w:rsid w:val="000F3E55"/>
    <w:rsid w:val="00102A70"/>
    <w:rsid w:val="00106E66"/>
    <w:rsid w:val="001071AF"/>
    <w:rsid w:val="00113EA2"/>
    <w:rsid w:val="001209F3"/>
    <w:rsid w:val="00122290"/>
    <w:rsid w:val="00131137"/>
    <w:rsid w:val="0015086C"/>
    <w:rsid w:val="00152E07"/>
    <w:rsid w:val="001757FE"/>
    <w:rsid w:val="001806B5"/>
    <w:rsid w:val="001810D0"/>
    <w:rsid w:val="0018288F"/>
    <w:rsid w:val="00183C85"/>
    <w:rsid w:val="001859BD"/>
    <w:rsid w:val="001A2200"/>
    <w:rsid w:val="001B0ABD"/>
    <w:rsid w:val="001B37C1"/>
    <w:rsid w:val="001D0E2B"/>
    <w:rsid w:val="001D4730"/>
    <w:rsid w:val="001D71EB"/>
    <w:rsid w:val="001F52D6"/>
    <w:rsid w:val="0020323E"/>
    <w:rsid w:val="002064AA"/>
    <w:rsid w:val="00206D3B"/>
    <w:rsid w:val="00234E56"/>
    <w:rsid w:val="00241BA5"/>
    <w:rsid w:val="002424F0"/>
    <w:rsid w:val="002458B8"/>
    <w:rsid w:val="00255CC2"/>
    <w:rsid w:val="00255D4F"/>
    <w:rsid w:val="002712B5"/>
    <w:rsid w:val="00274ACC"/>
    <w:rsid w:val="00277334"/>
    <w:rsid w:val="002A28B7"/>
    <w:rsid w:val="002B78E8"/>
    <w:rsid w:val="002C00F9"/>
    <w:rsid w:val="002C3941"/>
    <w:rsid w:val="002D23B1"/>
    <w:rsid w:val="002D3874"/>
    <w:rsid w:val="002E2C3F"/>
    <w:rsid w:val="002E3EB8"/>
    <w:rsid w:val="002E48E5"/>
    <w:rsid w:val="002E5B36"/>
    <w:rsid w:val="002E7BCC"/>
    <w:rsid w:val="00301FF0"/>
    <w:rsid w:val="00303E23"/>
    <w:rsid w:val="00313E66"/>
    <w:rsid w:val="0031627D"/>
    <w:rsid w:val="003246F3"/>
    <w:rsid w:val="00333B50"/>
    <w:rsid w:val="00334858"/>
    <w:rsid w:val="00355AD7"/>
    <w:rsid w:val="003625E5"/>
    <w:rsid w:val="0037280B"/>
    <w:rsid w:val="0037693F"/>
    <w:rsid w:val="0037788E"/>
    <w:rsid w:val="003805AE"/>
    <w:rsid w:val="00380D2F"/>
    <w:rsid w:val="003849FC"/>
    <w:rsid w:val="00393928"/>
    <w:rsid w:val="003B6DEC"/>
    <w:rsid w:val="003C6FD6"/>
    <w:rsid w:val="003D2781"/>
    <w:rsid w:val="003E0F35"/>
    <w:rsid w:val="003E371F"/>
    <w:rsid w:val="0040437C"/>
    <w:rsid w:val="0041566C"/>
    <w:rsid w:val="00421D03"/>
    <w:rsid w:val="0046500C"/>
    <w:rsid w:val="004707B1"/>
    <w:rsid w:val="00472B6C"/>
    <w:rsid w:val="0048315B"/>
    <w:rsid w:val="00496EC4"/>
    <w:rsid w:val="004A442B"/>
    <w:rsid w:val="004B4E77"/>
    <w:rsid w:val="004B693C"/>
    <w:rsid w:val="004C068F"/>
    <w:rsid w:val="004C409A"/>
    <w:rsid w:val="004E2185"/>
    <w:rsid w:val="004E247A"/>
    <w:rsid w:val="004E41FD"/>
    <w:rsid w:val="004F0620"/>
    <w:rsid w:val="004F62CE"/>
    <w:rsid w:val="00512079"/>
    <w:rsid w:val="00522FAD"/>
    <w:rsid w:val="00524AE1"/>
    <w:rsid w:val="00535414"/>
    <w:rsid w:val="0055216D"/>
    <w:rsid w:val="00557BE5"/>
    <w:rsid w:val="00561B88"/>
    <w:rsid w:val="00573EEB"/>
    <w:rsid w:val="005748A8"/>
    <w:rsid w:val="00581461"/>
    <w:rsid w:val="005824D2"/>
    <w:rsid w:val="0058579D"/>
    <w:rsid w:val="005979B9"/>
    <w:rsid w:val="005A4BFD"/>
    <w:rsid w:val="005B3B01"/>
    <w:rsid w:val="005D3443"/>
    <w:rsid w:val="005D5EB5"/>
    <w:rsid w:val="005E29FC"/>
    <w:rsid w:val="005F1A88"/>
    <w:rsid w:val="0060155C"/>
    <w:rsid w:val="006125C3"/>
    <w:rsid w:val="006218B0"/>
    <w:rsid w:val="00674DDD"/>
    <w:rsid w:val="00681ACF"/>
    <w:rsid w:val="00683766"/>
    <w:rsid w:val="0069264A"/>
    <w:rsid w:val="006A2618"/>
    <w:rsid w:val="006B3812"/>
    <w:rsid w:val="006E3446"/>
    <w:rsid w:val="006E3508"/>
    <w:rsid w:val="006E7B8B"/>
    <w:rsid w:val="006F10FC"/>
    <w:rsid w:val="006F7484"/>
    <w:rsid w:val="0070058A"/>
    <w:rsid w:val="0070171B"/>
    <w:rsid w:val="00711C3D"/>
    <w:rsid w:val="00713DB2"/>
    <w:rsid w:val="007314A0"/>
    <w:rsid w:val="0073535E"/>
    <w:rsid w:val="007448A6"/>
    <w:rsid w:val="00744C79"/>
    <w:rsid w:val="00745AA6"/>
    <w:rsid w:val="007515D1"/>
    <w:rsid w:val="00753890"/>
    <w:rsid w:val="0075747D"/>
    <w:rsid w:val="00781079"/>
    <w:rsid w:val="007811D1"/>
    <w:rsid w:val="00786303"/>
    <w:rsid w:val="00790F74"/>
    <w:rsid w:val="00792B4C"/>
    <w:rsid w:val="007A5ED8"/>
    <w:rsid w:val="007C3991"/>
    <w:rsid w:val="007D3485"/>
    <w:rsid w:val="007E49DA"/>
    <w:rsid w:val="007E50D6"/>
    <w:rsid w:val="007E513B"/>
    <w:rsid w:val="007F0737"/>
    <w:rsid w:val="0080144F"/>
    <w:rsid w:val="008052F4"/>
    <w:rsid w:val="008171B7"/>
    <w:rsid w:val="008221E9"/>
    <w:rsid w:val="00837F96"/>
    <w:rsid w:val="00841EF0"/>
    <w:rsid w:val="008429BB"/>
    <w:rsid w:val="0084345B"/>
    <w:rsid w:val="00855B62"/>
    <w:rsid w:val="00867F37"/>
    <w:rsid w:val="0087384B"/>
    <w:rsid w:val="008754E7"/>
    <w:rsid w:val="00880062"/>
    <w:rsid w:val="00880273"/>
    <w:rsid w:val="00884D1C"/>
    <w:rsid w:val="00891903"/>
    <w:rsid w:val="008A19C9"/>
    <w:rsid w:val="008A2AC1"/>
    <w:rsid w:val="008B5345"/>
    <w:rsid w:val="008C58C8"/>
    <w:rsid w:val="008D5BB4"/>
    <w:rsid w:val="008F17F2"/>
    <w:rsid w:val="008F5523"/>
    <w:rsid w:val="008F5B44"/>
    <w:rsid w:val="00901C0E"/>
    <w:rsid w:val="00905BE8"/>
    <w:rsid w:val="00927F35"/>
    <w:rsid w:val="00930FD7"/>
    <w:rsid w:val="009440A5"/>
    <w:rsid w:val="009533FC"/>
    <w:rsid w:val="009579F8"/>
    <w:rsid w:val="00962AE2"/>
    <w:rsid w:val="009752E0"/>
    <w:rsid w:val="009763DF"/>
    <w:rsid w:val="00980A47"/>
    <w:rsid w:val="00986043"/>
    <w:rsid w:val="00992A8B"/>
    <w:rsid w:val="009933B6"/>
    <w:rsid w:val="009C2F4F"/>
    <w:rsid w:val="009D0FE3"/>
    <w:rsid w:val="009D6A96"/>
    <w:rsid w:val="009D705F"/>
    <w:rsid w:val="009F1179"/>
    <w:rsid w:val="009F7316"/>
    <w:rsid w:val="00A06859"/>
    <w:rsid w:val="00A15858"/>
    <w:rsid w:val="00A204F3"/>
    <w:rsid w:val="00A420E3"/>
    <w:rsid w:val="00A50581"/>
    <w:rsid w:val="00A6359E"/>
    <w:rsid w:val="00A75F63"/>
    <w:rsid w:val="00A8240B"/>
    <w:rsid w:val="00A9126F"/>
    <w:rsid w:val="00AB0254"/>
    <w:rsid w:val="00AB3C79"/>
    <w:rsid w:val="00AB4D7A"/>
    <w:rsid w:val="00AB7207"/>
    <w:rsid w:val="00AC01C1"/>
    <w:rsid w:val="00AC7084"/>
    <w:rsid w:val="00B13A6A"/>
    <w:rsid w:val="00B224D1"/>
    <w:rsid w:val="00B23D6D"/>
    <w:rsid w:val="00B26E20"/>
    <w:rsid w:val="00B26EC1"/>
    <w:rsid w:val="00B30934"/>
    <w:rsid w:val="00B369C1"/>
    <w:rsid w:val="00B37E11"/>
    <w:rsid w:val="00B422C6"/>
    <w:rsid w:val="00B51468"/>
    <w:rsid w:val="00B54033"/>
    <w:rsid w:val="00B5675B"/>
    <w:rsid w:val="00B577EE"/>
    <w:rsid w:val="00B80405"/>
    <w:rsid w:val="00B830CE"/>
    <w:rsid w:val="00B9104A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507C"/>
    <w:rsid w:val="00BE7F9E"/>
    <w:rsid w:val="00BF626B"/>
    <w:rsid w:val="00C043AB"/>
    <w:rsid w:val="00C06053"/>
    <w:rsid w:val="00C070D1"/>
    <w:rsid w:val="00C11F03"/>
    <w:rsid w:val="00C13C4D"/>
    <w:rsid w:val="00C15D83"/>
    <w:rsid w:val="00C243E5"/>
    <w:rsid w:val="00C261FD"/>
    <w:rsid w:val="00C267A4"/>
    <w:rsid w:val="00C275F8"/>
    <w:rsid w:val="00C27F93"/>
    <w:rsid w:val="00C45ED0"/>
    <w:rsid w:val="00C676BC"/>
    <w:rsid w:val="00C769EE"/>
    <w:rsid w:val="00CB1535"/>
    <w:rsid w:val="00CB6937"/>
    <w:rsid w:val="00CD5AE8"/>
    <w:rsid w:val="00CE1A5A"/>
    <w:rsid w:val="00CF101F"/>
    <w:rsid w:val="00D039A2"/>
    <w:rsid w:val="00D12DA2"/>
    <w:rsid w:val="00D13E7E"/>
    <w:rsid w:val="00D20593"/>
    <w:rsid w:val="00D52D9D"/>
    <w:rsid w:val="00D55400"/>
    <w:rsid w:val="00D62F00"/>
    <w:rsid w:val="00D74DE3"/>
    <w:rsid w:val="00D754A1"/>
    <w:rsid w:val="00D75784"/>
    <w:rsid w:val="00D83525"/>
    <w:rsid w:val="00D872A1"/>
    <w:rsid w:val="00D93090"/>
    <w:rsid w:val="00D9587F"/>
    <w:rsid w:val="00D9661E"/>
    <w:rsid w:val="00D96AB0"/>
    <w:rsid w:val="00DA6947"/>
    <w:rsid w:val="00DB4FB1"/>
    <w:rsid w:val="00DB5DBF"/>
    <w:rsid w:val="00DF02C8"/>
    <w:rsid w:val="00DF2EF2"/>
    <w:rsid w:val="00DF534C"/>
    <w:rsid w:val="00E03722"/>
    <w:rsid w:val="00E064B6"/>
    <w:rsid w:val="00E11639"/>
    <w:rsid w:val="00E2362F"/>
    <w:rsid w:val="00E411A8"/>
    <w:rsid w:val="00E4621F"/>
    <w:rsid w:val="00E74FA4"/>
    <w:rsid w:val="00E815DB"/>
    <w:rsid w:val="00E8526A"/>
    <w:rsid w:val="00E86625"/>
    <w:rsid w:val="00E9300A"/>
    <w:rsid w:val="00EA10FD"/>
    <w:rsid w:val="00EA12D9"/>
    <w:rsid w:val="00F053D8"/>
    <w:rsid w:val="00F06B43"/>
    <w:rsid w:val="00F13678"/>
    <w:rsid w:val="00F147E1"/>
    <w:rsid w:val="00F23B04"/>
    <w:rsid w:val="00F33DEB"/>
    <w:rsid w:val="00F358FD"/>
    <w:rsid w:val="00F63DA6"/>
    <w:rsid w:val="00F91B0D"/>
    <w:rsid w:val="00F91E20"/>
    <w:rsid w:val="00F9498C"/>
    <w:rsid w:val="00F95D40"/>
    <w:rsid w:val="00FA52CC"/>
    <w:rsid w:val="00FC40CC"/>
    <w:rsid w:val="00FD506C"/>
    <w:rsid w:val="00FE512D"/>
    <w:rsid w:val="00FF3CC4"/>
    <w:rsid w:val="00FF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BCADF-C58A-45E1-A004-BE8BB040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495977___67349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zakononline.com.ua/documents/show/495977___6734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online.com.ua/documents/show/495977___673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15790</Words>
  <Characters>9001</Characters>
  <Application>Microsoft Office Word</Application>
  <DocSecurity>0</DocSecurity>
  <Lines>75</Lines>
  <Paragraphs>49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2025-05-23T07:54:00Z</cp:lastPrinted>
  <dcterms:created xsi:type="dcterms:W3CDTF">2025-05-23T07:55:00Z</dcterms:created>
  <dcterms:modified xsi:type="dcterms:W3CDTF">2025-05-23T07:55:00Z</dcterms:modified>
</cp:coreProperties>
</file>