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228A6">
      <w:pPr>
        <w:pStyle w:val="2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bookmarkStart w:id="0" w:name="_Toc175830181"/>
      <w:r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Повідомлення про наміри отримати дозвіл на викиди</w:t>
      </w:r>
      <w:bookmarkEnd w:id="0"/>
    </w:p>
    <w:p w14:paraId="107E4392">
      <w:pPr>
        <w:pStyle w:val="3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Повне та скорочене найменування суб’єкта господарювання:</w:t>
      </w:r>
      <w:r>
        <w:rPr>
          <w:sz w:val="22"/>
          <w:szCs w:val="22"/>
        </w:rPr>
        <w:t xml:space="preserve"> ПРИВАТНЕ АКЦІОНЕРНЕ ТОВАРИСТВО </w:t>
      </w:r>
      <w:bookmarkStart w:id="1" w:name="n115"/>
      <w:bookmarkEnd w:id="1"/>
      <w:bookmarkStart w:id="2" w:name="_Hlk78972110"/>
      <w:r>
        <w:rPr>
          <w:sz w:val="22"/>
          <w:szCs w:val="22"/>
        </w:rPr>
        <w:t>«ПОЛТАВСЬКА ПТАХОФАБРИКА»</w:t>
      </w:r>
      <w:bookmarkEnd w:id="2"/>
      <w:r>
        <w:rPr>
          <w:sz w:val="22"/>
          <w:szCs w:val="22"/>
        </w:rPr>
        <w:t xml:space="preserve"> (скорочене: ПрАТ «ПОЛТАВСЬКА ПТАХОФАБРИКА»).</w:t>
      </w:r>
    </w:p>
    <w:p w14:paraId="56F2F4A8">
      <w:pPr>
        <w:pStyle w:val="3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Ідентифікаційний код юридичної особи в ЄДР</w:t>
      </w:r>
      <w:r>
        <w:rPr>
          <w:sz w:val="22"/>
          <w:szCs w:val="22"/>
          <w:u w:val="single"/>
          <w:lang w:val="uk-UA"/>
        </w:rPr>
        <w:t>ПОУ</w:t>
      </w:r>
      <w:bookmarkStart w:id="11" w:name="_GoBack"/>
      <w:bookmarkEnd w:id="11"/>
      <w:r>
        <w:rPr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00845743.</w:t>
      </w:r>
    </w:p>
    <w:p w14:paraId="41A0A8D9">
      <w:pPr>
        <w:jc w:val="both"/>
        <w:rPr>
          <w:sz w:val="22"/>
          <w:szCs w:val="22"/>
        </w:rPr>
      </w:pPr>
      <w:bookmarkStart w:id="3" w:name="n116"/>
      <w:bookmarkEnd w:id="3"/>
      <w:r>
        <w:rPr>
          <w:sz w:val="22"/>
          <w:szCs w:val="22"/>
          <w:u w:val="single"/>
        </w:rPr>
        <w:t>Місцезнаходження суб’єкта господарювання, контактний номер телефону, адреса електронної пошти суб’єкта господарювання</w:t>
      </w:r>
      <w:r>
        <w:rPr>
          <w:sz w:val="22"/>
          <w:szCs w:val="22"/>
        </w:rPr>
        <w:t xml:space="preserve">: </w:t>
      </w:r>
      <w:bookmarkStart w:id="4" w:name="_Hlk175562441"/>
      <w:r>
        <w:rPr>
          <w:sz w:val="22"/>
          <w:szCs w:val="22"/>
        </w:rPr>
        <w:t xml:space="preserve">38541, Україна, Полтавська область, Полтавський район, село Стасі, вулиця </w:t>
      </w:r>
      <w:bookmarkEnd w:id="4"/>
      <w:r>
        <w:rPr>
          <w:sz w:val="22"/>
          <w:szCs w:val="22"/>
        </w:rPr>
        <w:t xml:space="preserve">Фабрична, 4; контактний номер телефону: </w:t>
      </w:r>
      <w:r>
        <w:rPr>
          <w:rStyle w:val="33"/>
          <w:b w:val="0"/>
          <w:bCs w:val="0"/>
          <w:sz w:val="22"/>
          <w:szCs w:val="22"/>
          <w:u w:val="single"/>
        </w:rPr>
        <w:t>(050) 4043928</w:t>
      </w:r>
      <w:r>
        <w:rPr>
          <w:sz w:val="22"/>
          <w:szCs w:val="22"/>
        </w:rPr>
        <w:t>, e-mail</w:t>
      </w:r>
      <w:r>
        <w:rPr>
          <w:sz w:val="22"/>
          <w:szCs w:val="22"/>
          <w:u w:val="single"/>
        </w:rPr>
        <w:t xml:space="preserve">: </w:t>
      </w:r>
      <w:r>
        <w:rPr>
          <w:iCs/>
          <w:sz w:val="22"/>
          <w:szCs w:val="22"/>
          <w:u w:val="single"/>
          <w:lang w:eastAsia="zh-CN"/>
        </w:rPr>
        <w:t>ludmila.teslya@ie.net.ua</w:t>
      </w:r>
      <w:r>
        <w:rPr>
          <w:rStyle w:val="33"/>
          <w:b w:val="0"/>
          <w:bCs w:val="0"/>
          <w:sz w:val="22"/>
          <w:szCs w:val="22"/>
          <w:u w:val="single"/>
        </w:rPr>
        <w:t>.</w:t>
      </w:r>
    </w:p>
    <w:p w14:paraId="4B7A622D">
      <w:pPr>
        <w:jc w:val="both"/>
        <w:rPr>
          <w:sz w:val="22"/>
          <w:szCs w:val="22"/>
        </w:rPr>
      </w:pPr>
      <w:bookmarkStart w:id="5" w:name="n117"/>
      <w:bookmarkEnd w:id="5"/>
      <w:r>
        <w:rPr>
          <w:sz w:val="22"/>
          <w:szCs w:val="22"/>
          <w:u w:val="single"/>
        </w:rPr>
        <w:t>Місцезнаходження об’єкта/промислового майданчика:</w:t>
      </w:r>
      <w:r>
        <w:rPr>
          <w:sz w:val="22"/>
          <w:szCs w:val="22"/>
        </w:rPr>
        <w:t xml:space="preserve"> </w:t>
      </w:r>
      <w:bookmarkStart w:id="6" w:name="n118"/>
      <w:bookmarkEnd w:id="6"/>
      <w:r>
        <w:rPr>
          <w:sz w:val="22"/>
          <w:szCs w:val="22"/>
        </w:rPr>
        <w:t>36009, Україна, Полтавська область, місто Полтава, вулиця Зінківська, 79.</w:t>
      </w:r>
    </w:p>
    <w:p w14:paraId="31152DEB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Мета отримання дозволу на викиди:</w:t>
      </w:r>
      <w:r>
        <w:rPr>
          <w:sz w:val="22"/>
          <w:szCs w:val="22"/>
        </w:rPr>
        <w:t xml:space="preserve"> отримання офіційного документу, який дає право провадити діяльність на існуючому об'єкті, пов'язану із викидами забруднюючих речовин в атмосферне повітря.</w:t>
      </w:r>
    </w:p>
    <w:p w14:paraId="148F547C">
      <w:pPr>
        <w:pStyle w:val="3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bookmarkStart w:id="7" w:name="n119"/>
      <w:bookmarkEnd w:id="7"/>
      <w:r>
        <w:rPr>
          <w:sz w:val="22"/>
          <w:szCs w:val="22"/>
          <w:u w:val="single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«Про оцінку впливу на довкілля» підлягає оцінці впливу на довкілля:</w:t>
      </w:r>
      <w:r>
        <w:rPr>
          <w:sz w:val="22"/>
          <w:szCs w:val="22"/>
        </w:rPr>
        <w:t xml:space="preserve"> відповідно до пункту 3 статті 17 Закону України «Про оцінку впливу на довкілля», дозвіл № 5310136400-251 на викиди забруднюючих речовин в атмосферне повітря стаціонарними джерелами ПРИВАТНОГО АКЦІОНЕРНОГО ТОВАРИСТВО «ПОЛТАВСЬКА ПТАХОФАБРИКА» дата видачі дозволу 09.12.2016 р. має статус висновку оцінки впливу на довкілля.</w:t>
      </w:r>
    </w:p>
    <w:p w14:paraId="59A8D0CB">
      <w:pPr>
        <w:jc w:val="both"/>
        <w:rPr>
          <w:color w:val="000000"/>
          <w:sz w:val="22"/>
          <w:szCs w:val="22"/>
          <w:lang w:eastAsia="uk-UA" w:bidi="uk-UA"/>
        </w:rPr>
      </w:pPr>
      <w:bookmarkStart w:id="8" w:name="n120"/>
      <w:bookmarkEnd w:id="8"/>
      <w:r>
        <w:rPr>
          <w:sz w:val="22"/>
          <w:szCs w:val="22"/>
          <w:u w:val="single"/>
        </w:rPr>
        <w:t>Загальний опис об’єкта (опис виробництв та технологічного устаткування: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eastAsia="uk-UA"/>
        </w:rPr>
        <w:t xml:space="preserve">виробничий підрозділ № 2 призначений для розведення свійської птиці. </w:t>
      </w:r>
      <w:r>
        <w:rPr>
          <w:color w:val="000000"/>
          <w:sz w:val="22"/>
          <w:szCs w:val="22"/>
          <w:lang w:eastAsia="uk-UA" w:bidi="uk-UA"/>
        </w:rPr>
        <w:t>Джерелами утворення викидів будуть: котел №1,2 КГ-Г-100; свічі газо-розподільного пункту; приміщення кухні; приміщення пральні; дезінфікуючі килими; дезінфікуюча рамка; котел АОГВ-30Г; вивантаження комбікорму на автотранспорт; силос комбікорму, 8 шт.; дезбар’єри; бункери для комбікорму пташників № 6-11/1; дизельний генератор А</w:t>
      </w:r>
      <w:r>
        <w:rPr>
          <w:color w:val="000000"/>
          <w:sz w:val="22"/>
          <w:szCs w:val="22"/>
          <w:lang w:val="en-US" w:eastAsia="uk-UA" w:bidi="uk-UA"/>
        </w:rPr>
        <w:t>D</w:t>
      </w:r>
      <w:r>
        <w:rPr>
          <w:color w:val="000000"/>
          <w:sz w:val="22"/>
          <w:szCs w:val="22"/>
          <w:lang w:eastAsia="uk-UA" w:bidi="uk-UA"/>
        </w:rPr>
        <w:t>-410; вивантаження посліду пташників  №№6-11/1; каналізаційна насосна станція; відстійники; ветблок; котел АОГВ-30Т; заточувальний верстат; зварювальний пост; пташники №№6-11/1; гараж; компресор; зарядка АКБ; опалювальна установка; ємність з дизельним паливом; паливо-роздавальна колонка.</w:t>
      </w:r>
    </w:p>
    <w:p w14:paraId="3C5EDAFB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Відомості щодо видів та обсягів викидів, </w:t>
      </w:r>
      <w:r>
        <w:rPr>
          <w:sz w:val="22"/>
          <w:szCs w:val="22"/>
        </w:rPr>
        <w:t xml:space="preserve">т/рік: </w:t>
      </w:r>
      <w:bookmarkStart w:id="9" w:name="_Hlk175912738"/>
      <w:r>
        <w:rPr>
          <w:sz w:val="22"/>
          <w:szCs w:val="22"/>
        </w:rPr>
        <w:t xml:space="preserve">мікроорганізми-продуценти ВНДІСХМ-54 – 0,0050146; </w:t>
      </w:r>
      <w:r>
        <w:rPr>
          <w:kern w:val="2"/>
          <w:sz w:val="22"/>
          <w:szCs w:val="22"/>
        </w:rPr>
        <w:t>речовини у вигляді суспендованих твердих частинок</w:t>
      </w:r>
      <w:r>
        <w:rPr>
          <w:sz w:val="22"/>
          <w:szCs w:val="22"/>
        </w:rPr>
        <w:t xml:space="preserve"> – 0,00215; вуглецю оксид – 0,039774; вуглецю діоксид – 16,528636; метан – 42,80968226; заліза оксид (в перерахунку на залізо) – 0,00329; марганець та його з’єднання (в перерахунку на діоксид марганцю) – 0,000111; пил хутряний (вовняний пуховий) – 6,447794; пил абразивний (корунд білий, монокорунд) – 0,00234; пил комбікормовий (в перерахунку на білок) – 0,002135; пил металевий – 0,0036; синтетичний мийний засіб типу «Лотос» - 0,00000017; азоту діоксид – 0,086715; азоту(1) оксид (N2O) – 0,000108; аміак – 0,573646; диметилсульфід – 0,13609; метилмеркаптан – 0,01433808; етантіол (етилмеркаптан) – 0,000000034; ангідрид сірчистий – 0,010998; сірководень – 0,157693; кислота сірчана за молекулою </w:t>
      </w:r>
      <w:r>
        <w:rPr>
          <w:sz w:val="22"/>
          <w:szCs w:val="22"/>
          <w:lang w:val="en-US"/>
        </w:rPr>
        <w:t xml:space="preserve">H2SO4 </w:t>
      </w:r>
      <w:r>
        <w:rPr>
          <w:sz w:val="22"/>
          <w:szCs w:val="22"/>
        </w:rPr>
        <w:t>– 0,00000107; диметиламін – 0,315194; альдегід пропіоновий (пронаталь, метилоцтовий альдегід) – 0,078822; кислота капронова – 0,089552; масло мінеральне нафтове (веретенне, машинне, циліндрове і ін.) – 0,0000000000115; вуглеводні насичені С</w:t>
      </w:r>
      <w:r>
        <w:rPr>
          <w:sz w:val="22"/>
          <w:szCs w:val="22"/>
          <w:vertAlign w:val="subscript"/>
        </w:rPr>
        <w:t>12</w:t>
      </w:r>
      <w:r>
        <w:rPr>
          <w:sz w:val="22"/>
          <w:szCs w:val="22"/>
        </w:rPr>
        <w:t>-С</w:t>
      </w:r>
      <w:r>
        <w:rPr>
          <w:sz w:val="22"/>
          <w:szCs w:val="22"/>
          <w:vertAlign w:val="subscript"/>
        </w:rPr>
        <w:t>19</w:t>
      </w:r>
      <w:r>
        <w:rPr>
          <w:sz w:val="22"/>
          <w:szCs w:val="22"/>
        </w:rPr>
        <w:t xml:space="preserve"> (розчинник РПК-26511 та ін.) у перерахунку на сумарний органічний вуглець – 0,00331; додецилбензол (додецилбензол фенілдодекан) – 18,016824; акролеїн – 0,004141; фенол – 0,014338.</w:t>
      </w:r>
    </w:p>
    <w:bookmarkEnd w:id="9"/>
    <w:p w14:paraId="1E03A3DB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Заходи щодо впровадження найкращих існуючих технологій виробництва, що виконані або/та які потребують виконання. Перелік заходів щодо скорочення викидів, що виконані або/та які потребують виконання. Дотримання виконання природоохоронних заходів щодо скорочення викидів:</w:t>
      </w:r>
      <w:r>
        <w:rPr>
          <w:sz w:val="22"/>
          <w:szCs w:val="22"/>
        </w:rPr>
        <w:t xml:space="preserve"> згідно «Інструкції про вимоги до оформлення документів, в яких обґрунтовуються обсяги викидів забруднюючих речовини в атмосферне повітря стаціонарними джерелами» затвердженої Наказом Міністерства захисту довкілля та природних ресурсів України від 27.06.2023р. № 448, заходи щодо впровадження найкращих існуючих технологій виробництва та методів керування та перелік заходів щодо скорочення викидів забруднюючих речовин, що виконані або/та які потребують виконання для об'єктів другої групи ступеня впливу на забруднення атмосферного повітря – не передбачено.</w:t>
      </w:r>
    </w:p>
    <w:p w14:paraId="0CB1C5C7">
      <w:pPr>
        <w:pStyle w:val="3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Відповідність пропозицій щодо дозволених обсягів викидів законодавству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lang w:val="ru-RU" w:eastAsia="ru-RU"/>
        </w:rPr>
        <w:t>Ф</w:t>
      </w:r>
      <w:r>
        <w:rPr>
          <w:sz w:val="22"/>
          <w:szCs w:val="22"/>
          <w:lang w:eastAsia="ru-RU"/>
        </w:rPr>
        <w:t xml:space="preserve">актичні обсяги викидів </w:t>
      </w:r>
      <w:r>
        <w:rPr>
          <w:sz w:val="22"/>
          <w:szCs w:val="22"/>
          <w:lang w:val="ru-RU" w:eastAsia="ru-RU"/>
        </w:rPr>
        <w:t>не перевищують нормативи гранично допустимих викидів, розрахунки розсіювання на межі санітарно-захисної зони не перевищують нормативи гранично допустимих викидів.</w:t>
      </w:r>
    </w:p>
    <w:p w14:paraId="1AFD2622">
      <w:pPr>
        <w:pStyle w:val="3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u w:val="single"/>
        </w:rPr>
        <w:t>Зауваження та пропозиції громадськості щодо дозволу на викиди. Строки подання зауважень та пропозицій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shd w:val="clear" w:color="auto" w:fill="FFFFFF"/>
        </w:rPr>
        <w:t>протягом 30 календарних днів з дня публікації даного повідомлення, громадськість може надати зауваження та пропозиції до дозволу на викиди у письмовій або електронній формі</w:t>
      </w:r>
      <w:r>
        <w:rPr>
          <w:sz w:val="22"/>
          <w:szCs w:val="22"/>
        </w:rPr>
        <w:t xml:space="preserve"> до Полтавської обласної військової адміністрації, за адресою: </w:t>
      </w:r>
      <w:r>
        <w:rPr>
          <w:sz w:val="22"/>
          <w:szCs w:val="22"/>
          <w:lang w:eastAsia="ru-RU"/>
        </w:rPr>
        <w:t xml:space="preserve">36014, </w:t>
      </w:r>
      <w:r>
        <w:rPr>
          <w:sz w:val="22"/>
          <w:szCs w:val="22"/>
        </w:rPr>
        <w:t xml:space="preserve">Україна, Полтавська область, </w:t>
      </w:r>
      <w:r>
        <w:rPr>
          <w:sz w:val="22"/>
          <w:szCs w:val="22"/>
          <w:lang w:eastAsia="ru-RU"/>
        </w:rPr>
        <w:t xml:space="preserve">місто Полтава, вулиця Соборності, 45, електронна пошта </w:t>
      </w:r>
      <w:r>
        <w:rPr>
          <w:sz w:val="22"/>
          <w:szCs w:val="22"/>
          <w:shd w:val="clear" w:color="auto" w:fill="FFFFFF"/>
        </w:rPr>
        <w:t>oda@adm-pl.gov.ua</w:t>
      </w:r>
      <w:r>
        <w:rPr>
          <w:color w:val="000000"/>
          <w:sz w:val="22"/>
          <w:szCs w:val="22"/>
          <w:shd w:val="clear" w:color="auto" w:fill="FFFFFF"/>
        </w:rPr>
        <w:t>,</w:t>
      </w:r>
      <w:r>
        <w:rPr>
          <w:sz w:val="22"/>
          <w:szCs w:val="22"/>
          <w:lang w:eastAsia="ru-RU"/>
        </w:rPr>
        <w:t xml:space="preserve"> тел. (0532) 56-95-08</w:t>
      </w:r>
      <w:bookmarkStart w:id="10" w:name="n127"/>
      <w:bookmarkEnd w:id="10"/>
      <w:r>
        <w:rPr>
          <w:sz w:val="22"/>
          <w:szCs w:val="22"/>
          <w:lang w:eastAsia="ru-RU"/>
        </w:rPr>
        <w:t>.</w:t>
      </w:r>
    </w:p>
    <w:p w14:paraId="35E98184"/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63"/>
    <w:rsid w:val="00086463"/>
    <w:rsid w:val="002360F8"/>
    <w:rsid w:val="005B7775"/>
    <w:rsid w:val="005D2EE9"/>
    <w:rsid w:val="00A357E1"/>
    <w:rsid w:val="0A96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uk-UA" w:eastAsia="en-US" w:bidi="ar-SA"/>
      <w14:ligatures w14:val="none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2F5597" w:themeColor="accent1" w:themeShade="BF"/>
      <w:kern w:val="2"/>
      <w:sz w:val="40"/>
      <w:szCs w:val="40"/>
      <w14:ligatures w14:val="standardContextual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2F5597" w:themeColor="accent1" w:themeShade="BF"/>
      <w:kern w:val="2"/>
      <w:sz w:val="32"/>
      <w:szCs w:val="32"/>
      <w14:ligatures w14:val="standardContextual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 w:line="259" w:lineRule="auto"/>
      <w:outlineLvl w:val="2"/>
    </w:pPr>
    <w:rPr>
      <w:rFonts w:asciiTheme="minorHAnsi" w:hAnsiTheme="minorHAnsi" w:eastAsiaTheme="majorEastAsia" w:cstheme="majorBidi"/>
      <w:color w:val="2F5597" w:themeColor="accent1" w:themeShade="BF"/>
      <w:kern w:val="2"/>
      <w:sz w:val="28"/>
      <w:szCs w:val="28"/>
      <w14:ligatures w14:val="standardContextual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 w:line="259" w:lineRule="auto"/>
      <w:outlineLvl w:val="3"/>
    </w:pPr>
    <w:rPr>
      <w:rFonts w:asciiTheme="minorHAnsi" w:hAnsiTheme="minorHAnsi" w:eastAsiaTheme="majorEastAsia" w:cstheme="majorBidi"/>
      <w:i/>
      <w:iCs/>
      <w:color w:val="2F5597" w:themeColor="accent1" w:themeShade="BF"/>
      <w:kern w:val="2"/>
      <w:sz w:val="22"/>
      <w:szCs w:val="22"/>
      <w14:ligatures w14:val="standardContextual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 w:line="259" w:lineRule="auto"/>
      <w:outlineLvl w:val="4"/>
    </w:pPr>
    <w:rPr>
      <w:rFonts w:asciiTheme="minorHAnsi" w:hAnsiTheme="minorHAnsi" w:eastAsiaTheme="majorEastAsia" w:cstheme="majorBidi"/>
      <w:color w:val="2F5597" w:themeColor="accent1" w:themeShade="BF"/>
      <w:kern w:val="2"/>
      <w:sz w:val="22"/>
      <w:szCs w:val="22"/>
      <w14:ligatures w14:val="standardContextual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line="259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line="259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line="259" w:lineRule="auto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:kern w:val="2"/>
      <w:sz w:val="22"/>
      <w:szCs w:val="22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line="259" w:lineRule="auto"/>
      <w:outlineLvl w:val="8"/>
    </w:pPr>
    <w:rPr>
      <w:rFonts w:asciiTheme="minorHAnsi" w:hAnsiTheme="minorHAnsi" w:eastAsiaTheme="majorEastAsia" w:cstheme="majorBidi"/>
      <w:color w:val="262626" w:themeColor="text1" w:themeTint="D9"/>
      <w:kern w:val="2"/>
      <w:sz w:val="22"/>
      <w:szCs w:val="22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pPr>
      <w:spacing w:after="160" w:line="259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4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5">
    <w:name w:val="Заголовок 1 Знак"/>
    <w:basedOn w:val="11"/>
    <w:link w:val="2"/>
    <w:qFormat/>
    <w:uiPriority w:val="9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Заголовок 3 Знак"/>
    <w:basedOn w:val="11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Заголовок 4 Знак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Заголовок 6 Знак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Заголовок 9 Знак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Назва Знак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Підзаголовок Знак"/>
    <w:basedOn w:val="11"/>
    <w:link w:val="13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 w:line="259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sz w:val="22"/>
      <w:szCs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7">
    <w:name w:val="Цитата Знак"/>
    <w:basedOn w:val="11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kern w:val="2"/>
      <w:sz w:val="22"/>
      <w:szCs w:val="22"/>
      <w14:ligatures w14:val="standardContextual"/>
    </w:r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59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2F5597" w:themeColor="accent1" w:themeShade="BF"/>
      <w:kern w:val="2"/>
      <w:sz w:val="22"/>
      <w:szCs w:val="22"/>
      <w14:ligatures w14:val="standardContextual"/>
    </w:rPr>
  </w:style>
  <w:style w:type="character" w:customStyle="1" w:styleId="31">
    <w:name w:val="Насичена цитата Знак"/>
    <w:basedOn w:val="11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3">
    <w:name w:val="tx1"/>
    <w:uiPriority w:val="99"/>
    <w:rPr>
      <w:b/>
      <w:bCs/>
    </w:rPr>
  </w:style>
  <w:style w:type="paragraph" w:customStyle="1" w:styleId="34">
    <w:name w:val="rvps2"/>
    <w:basedOn w:val="1"/>
    <w:qFormat/>
    <w:uiPriority w:val="0"/>
    <w:pPr>
      <w:spacing w:before="100" w:beforeAutospacing="1" w:after="100" w:afterAutospacing="1"/>
    </w:pPr>
    <w:rPr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3191</Words>
  <Characters>1819</Characters>
  <Lines>15</Lines>
  <Paragraphs>9</Paragraphs>
  <TotalTime>2</TotalTime>
  <ScaleCrop>false</ScaleCrop>
  <LinksUpToDate>false</LinksUpToDate>
  <CharactersWithSpaces>5001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2025-05-14T10:09:00Z</dcterms:created>
  <dc:creator>Olena Keyano</dc:creator>
  <cp:lastModifiedBy>UserSon</cp:lastModifiedBy>
  <dcterms:modified xsi:type="dcterms:W3CDTF">2025-05-14T10:12:59Z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3C2ACE0F1A1343D2B242403EA4E100BF_12</vt:lpwstr>
  </property>
</Properties>
</file>