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4A" w:rsidRPr="004B7DAC" w:rsidRDefault="0067794A" w:rsidP="00571B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Times New Roman" w:hAnsi="Times New Roman"/>
          <w:b/>
          <w:sz w:val="28"/>
          <w:szCs w:val="28"/>
          <w:lang w:val="uk-UA"/>
        </w:rPr>
      </w:pPr>
      <w:r w:rsidRPr="004B7DAC">
        <w:rPr>
          <w:rFonts w:ascii="Times New Roman" w:hAnsi="Times New Roman"/>
          <w:b/>
          <w:sz w:val="28"/>
          <w:szCs w:val="28"/>
          <w:lang w:val="uk-UA"/>
        </w:rPr>
        <w:t>ПОЯСНЮВАЛЬНА ЗАПИСКА</w:t>
      </w:r>
    </w:p>
    <w:p w:rsidR="0067794A" w:rsidRPr="004B7DAC" w:rsidRDefault="0067794A" w:rsidP="00571B9D">
      <w:pPr>
        <w:pStyle w:val="HTML"/>
        <w:spacing w:before="120" w:after="120"/>
        <w:jc w:val="center"/>
        <w:rPr>
          <w:rFonts w:ascii="Times New Roman" w:hAnsi="Times New Roman"/>
          <w:b/>
          <w:sz w:val="28"/>
          <w:szCs w:val="28"/>
          <w:lang w:val="uk-UA"/>
        </w:rPr>
      </w:pPr>
      <w:r w:rsidRPr="004B7DAC">
        <w:rPr>
          <w:rFonts w:ascii="Times New Roman" w:hAnsi="Times New Roman"/>
          <w:b/>
          <w:sz w:val="28"/>
          <w:szCs w:val="28"/>
          <w:lang w:val="uk-UA"/>
        </w:rPr>
        <w:t xml:space="preserve">до проєкту наказу Міністерства захисту довкілля та природних ресурсів </w:t>
      </w:r>
      <w:r w:rsidRPr="008437AD">
        <w:rPr>
          <w:rFonts w:ascii="Times New Roman" w:hAnsi="Times New Roman"/>
          <w:b/>
          <w:sz w:val="28"/>
          <w:szCs w:val="28"/>
          <w:lang w:val="uk-UA"/>
        </w:rPr>
        <w:t>України «</w:t>
      </w:r>
      <w:r w:rsidR="00566B3A">
        <w:rPr>
          <w:rFonts w:ascii="Times New Roman" w:hAnsi="Times New Roman"/>
          <w:b/>
          <w:sz w:val="28"/>
          <w:szCs w:val="28"/>
          <w:lang w:val="uk-UA"/>
        </w:rPr>
        <w:t xml:space="preserve">Про затвердження </w:t>
      </w:r>
      <w:r w:rsidR="008B29AA" w:rsidRPr="008B29AA">
        <w:rPr>
          <w:rFonts w:ascii="Times New Roman" w:hAnsi="Times New Roman"/>
          <w:b/>
          <w:sz w:val="28"/>
          <w:szCs w:val="28"/>
          <w:lang w:val="uk-UA"/>
        </w:rPr>
        <w:t xml:space="preserve"> вимог до змісту </w:t>
      </w:r>
      <w:r w:rsidR="00566B3A">
        <w:rPr>
          <w:rFonts w:ascii="Times New Roman" w:hAnsi="Times New Roman"/>
          <w:b/>
          <w:sz w:val="28"/>
          <w:szCs w:val="28"/>
          <w:lang w:val="uk-UA"/>
        </w:rPr>
        <w:t xml:space="preserve">та форми звіту оператора установки про дотримання умов інтегрованого </w:t>
      </w:r>
      <w:proofErr w:type="spellStart"/>
      <w:r w:rsidR="00566B3A">
        <w:rPr>
          <w:rFonts w:ascii="Times New Roman" w:hAnsi="Times New Roman"/>
          <w:b/>
          <w:sz w:val="28"/>
          <w:szCs w:val="28"/>
          <w:lang w:val="uk-UA"/>
        </w:rPr>
        <w:t>довкіллєвого</w:t>
      </w:r>
      <w:proofErr w:type="spellEnd"/>
      <w:r w:rsidR="00566B3A">
        <w:rPr>
          <w:rFonts w:ascii="Times New Roman" w:hAnsi="Times New Roman"/>
          <w:b/>
          <w:sz w:val="28"/>
          <w:szCs w:val="28"/>
          <w:lang w:val="uk-UA"/>
        </w:rPr>
        <w:t xml:space="preserve"> дозволу» </w:t>
      </w:r>
    </w:p>
    <w:p w:rsidR="002E7AEF" w:rsidRPr="001A0F3A" w:rsidRDefault="002E7AEF" w:rsidP="00571B9D">
      <w:pPr>
        <w:autoSpaceDE w:val="0"/>
        <w:autoSpaceDN w:val="0"/>
        <w:adjustRightInd w:val="0"/>
        <w:spacing w:before="120" w:after="120"/>
        <w:ind w:firstLine="567"/>
        <w:contextualSpacing/>
        <w:jc w:val="both"/>
        <w:rPr>
          <w:rFonts w:ascii="TimesNewRomanPS-BoldMT" w:hAnsi="TimesNewRomanPS-BoldMT" w:cs="TimesNewRomanPS-BoldMT"/>
          <w:bCs/>
          <w:sz w:val="28"/>
          <w:szCs w:val="28"/>
        </w:rPr>
      </w:pPr>
    </w:p>
    <w:p w:rsidR="002E7AEF" w:rsidRPr="00D73594" w:rsidRDefault="002E7AEF" w:rsidP="00924667">
      <w:pPr>
        <w:shd w:val="clear" w:color="auto" w:fill="FFFFFF"/>
        <w:spacing w:before="120" w:after="120" w:line="276" w:lineRule="auto"/>
        <w:ind w:firstLine="567"/>
        <w:contextualSpacing/>
        <w:jc w:val="both"/>
        <w:rPr>
          <w:b/>
          <w:bCs/>
          <w:sz w:val="28"/>
          <w:szCs w:val="28"/>
          <w:lang w:eastAsia="uk-UA"/>
        </w:rPr>
      </w:pPr>
      <w:bookmarkStart w:id="0" w:name="n3485"/>
      <w:bookmarkEnd w:id="0"/>
      <w:r w:rsidRPr="00D73594">
        <w:rPr>
          <w:b/>
          <w:bCs/>
          <w:sz w:val="28"/>
          <w:szCs w:val="28"/>
          <w:lang w:eastAsia="uk-UA"/>
        </w:rPr>
        <w:t>1. Мета</w:t>
      </w:r>
    </w:p>
    <w:p w:rsidR="00417246" w:rsidRPr="001F2DC5" w:rsidRDefault="007A7CBF" w:rsidP="001F2DC5">
      <w:pPr>
        <w:spacing w:line="276" w:lineRule="auto"/>
        <w:ind w:firstLine="567"/>
        <w:jc w:val="both"/>
        <w:rPr>
          <w:sz w:val="28"/>
          <w:szCs w:val="28"/>
        </w:rPr>
      </w:pPr>
      <w:bookmarkStart w:id="1" w:name="n3486"/>
      <w:bookmarkEnd w:id="1"/>
      <w:r w:rsidRPr="001F2DC5">
        <w:rPr>
          <w:sz w:val="28"/>
          <w:szCs w:val="28"/>
        </w:rPr>
        <w:t xml:space="preserve">Метою </w:t>
      </w:r>
      <w:r w:rsidR="00314B9A">
        <w:rPr>
          <w:sz w:val="28"/>
          <w:szCs w:val="28"/>
        </w:rPr>
        <w:t>затвердження</w:t>
      </w:r>
      <w:r w:rsidRPr="001F2DC5">
        <w:rPr>
          <w:sz w:val="28"/>
          <w:szCs w:val="28"/>
        </w:rPr>
        <w:t xml:space="preserve"> п</w:t>
      </w:r>
      <w:r w:rsidR="000D300A" w:rsidRPr="001F2DC5">
        <w:rPr>
          <w:sz w:val="28"/>
          <w:szCs w:val="28"/>
        </w:rPr>
        <w:t>роєкт</w:t>
      </w:r>
      <w:r w:rsidRPr="001F2DC5">
        <w:rPr>
          <w:sz w:val="28"/>
          <w:szCs w:val="28"/>
        </w:rPr>
        <w:t>у</w:t>
      </w:r>
      <w:r w:rsidR="0067794A" w:rsidRPr="001F2DC5">
        <w:rPr>
          <w:sz w:val="28"/>
          <w:szCs w:val="28"/>
        </w:rPr>
        <w:t xml:space="preserve"> наказу Міністерства захисту довкілля та природних ресурсів України «</w:t>
      </w:r>
      <w:r w:rsidR="00566B3A" w:rsidRPr="001F2DC5">
        <w:rPr>
          <w:sz w:val="28"/>
          <w:szCs w:val="28"/>
        </w:rPr>
        <w:t xml:space="preserve">Про затвердження  вимог до змісту та форми звіту оператора установки про дотримання умов інтегрованого </w:t>
      </w:r>
      <w:proofErr w:type="spellStart"/>
      <w:r w:rsidR="00566B3A" w:rsidRPr="001F2DC5">
        <w:rPr>
          <w:sz w:val="28"/>
          <w:szCs w:val="28"/>
        </w:rPr>
        <w:t>довкіллєвого</w:t>
      </w:r>
      <w:proofErr w:type="spellEnd"/>
      <w:r w:rsidR="00566B3A" w:rsidRPr="001F2DC5">
        <w:rPr>
          <w:sz w:val="28"/>
          <w:szCs w:val="28"/>
        </w:rPr>
        <w:t xml:space="preserve"> дозволу</w:t>
      </w:r>
      <w:r w:rsidR="0067794A" w:rsidRPr="001F2DC5">
        <w:rPr>
          <w:sz w:val="28"/>
          <w:szCs w:val="28"/>
        </w:rPr>
        <w:t xml:space="preserve">» (далі – </w:t>
      </w:r>
      <w:proofErr w:type="spellStart"/>
      <w:r w:rsidR="0067794A" w:rsidRPr="001F2DC5">
        <w:rPr>
          <w:sz w:val="28"/>
          <w:szCs w:val="28"/>
        </w:rPr>
        <w:t>проєкт</w:t>
      </w:r>
      <w:proofErr w:type="spellEnd"/>
      <w:r w:rsidR="0067794A" w:rsidRPr="001F2DC5">
        <w:rPr>
          <w:sz w:val="28"/>
          <w:szCs w:val="28"/>
        </w:rPr>
        <w:t xml:space="preserve"> </w:t>
      </w:r>
      <w:r w:rsidR="00314B9A">
        <w:rPr>
          <w:sz w:val="28"/>
          <w:szCs w:val="28"/>
        </w:rPr>
        <w:t>наказу</w:t>
      </w:r>
      <w:r w:rsidR="0067794A" w:rsidRPr="001F2DC5">
        <w:rPr>
          <w:sz w:val="28"/>
          <w:szCs w:val="28"/>
        </w:rPr>
        <w:t>)</w:t>
      </w:r>
      <w:r w:rsidR="000D300A" w:rsidRPr="001F2DC5">
        <w:rPr>
          <w:sz w:val="28"/>
          <w:szCs w:val="28"/>
        </w:rPr>
        <w:t xml:space="preserve"> </w:t>
      </w:r>
      <w:r w:rsidR="00314387" w:rsidRPr="001F2DC5">
        <w:rPr>
          <w:sz w:val="28"/>
          <w:szCs w:val="28"/>
        </w:rPr>
        <w:t xml:space="preserve">є реалізація положень </w:t>
      </w:r>
      <w:r w:rsidR="00566B3A" w:rsidRPr="001F2DC5">
        <w:rPr>
          <w:sz w:val="28"/>
          <w:szCs w:val="28"/>
        </w:rPr>
        <w:t>статті 17</w:t>
      </w:r>
      <w:r w:rsidR="008B29AA" w:rsidRPr="001F2DC5">
        <w:rPr>
          <w:sz w:val="28"/>
          <w:szCs w:val="28"/>
        </w:rPr>
        <w:t xml:space="preserve"> Закону України «Про інтегроване запобігання та контроль промислового забруднення» </w:t>
      </w:r>
      <w:r w:rsidR="00D0421B">
        <w:rPr>
          <w:sz w:val="28"/>
          <w:szCs w:val="28"/>
        </w:rPr>
        <w:br/>
      </w:r>
      <w:r w:rsidR="008B29AA" w:rsidRPr="001F2DC5">
        <w:rPr>
          <w:sz w:val="28"/>
          <w:szCs w:val="28"/>
        </w:rPr>
        <w:t>(далі – Закон)</w:t>
      </w:r>
      <w:r w:rsidR="00314387" w:rsidRPr="001F2DC5">
        <w:rPr>
          <w:sz w:val="28"/>
          <w:szCs w:val="28"/>
        </w:rPr>
        <w:t>,</w:t>
      </w:r>
      <w:r w:rsidR="008B29AA" w:rsidRPr="001F2DC5">
        <w:rPr>
          <w:sz w:val="28"/>
          <w:szCs w:val="28"/>
        </w:rPr>
        <w:t xml:space="preserve"> вимог Директиви Європейського Парламенту і Ради 2010/75/ЄС від 24 листопада 2010 року про промислові викиди </w:t>
      </w:r>
      <w:r w:rsidR="00FD48BF" w:rsidRPr="001F2DC5">
        <w:rPr>
          <w:sz w:val="28"/>
          <w:szCs w:val="28"/>
        </w:rPr>
        <w:t xml:space="preserve">(інтегрований підхід до запобігання забрудненню та його контролю) </w:t>
      </w:r>
      <w:r w:rsidR="008B29AA" w:rsidRPr="001F2DC5">
        <w:rPr>
          <w:sz w:val="28"/>
          <w:szCs w:val="28"/>
        </w:rPr>
        <w:t>(</w:t>
      </w:r>
      <w:r w:rsidR="00566B3A" w:rsidRPr="001F2DC5">
        <w:rPr>
          <w:sz w:val="28"/>
          <w:szCs w:val="28"/>
        </w:rPr>
        <w:t>стаття 62, звітування про дотримання умов</w:t>
      </w:r>
      <w:r w:rsidR="00D54B42" w:rsidRPr="001F2DC5">
        <w:rPr>
          <w:sz w:val="28"/>
          <w:szCs w:val="28"/>
        </w:rPr>
        <w:t>)</w:t>
      </w:r>
      <w:r w:rsidR="00314387" w:rsidRPr="001F2DC5">
        <w:rPr>
          <w:sz w:val="28"/>
          <w:szCs w:val="28"/>
        </w:rPr>
        <w:t xml:space="preserve"> в частині </w:t>
      </w:r>
      <w:r w:rsidR="008B29AA" w:rsidRPr="001F2DC5">
        <w:rPr>
          <w:sz w:val="28"/>
          <w:szCs w:val="28"/>
        </w:rPr>
        <w:t xml:space="preserve">затвердження </w:t>
      </w:r>
      <w:r w:rsidR="00566B3A" w:rsidRPr="001F2DC5">
        <w:rPr>
          <w:sz w:val="28"/>
          <w:szCs w:val="28"/>
        </w:rPr>
        <w:t xml:space="preserve">вимог до змісту та форми звіту оператора установки про дотримання умов інтегрованого </w:t>
      </w:r>
      <w:proofErr w:type="spellStart"/>
      <w:r w:rsidR="00566B3A" w:rsidRPr="001F2DC5">
        <w:rPr>
          <w:sz w:val="28"/>
          <w:szCs w:val="28"/>
        </w:rPr>
        <w:t>довкіллєвого</w:t>
      </w:r>
      <w:proofErr w:type="spellEnd"/>
      <w:r w:rsidR="00566B3A" w:rsidRPr="001F2DC5">
        <w:rPr>
          <w:sz w:val="28"/>
          <w:szCs w:val="28"/>
        </w:rPr>
        <w:t xml:space="preserve"> дозволу</w:t>
      </w:r>
      <w:r w:rsidR="008B29AA" w:rsidRPr="001F2DC5">
        <w:rPr>
          <w:sz w:val="28"/>
          <w:szCs w:val="28"/>
        </w:rPr>
        <w:t>.</w:t>
      </w:r>
    </w:p>
    <w:p w:rsidR="001F2DC5" w:rsidRDefault="001F2DC5" w:rsidP="001F2DC5">
      <w:pPr>
        <w:shd w:val="clear" w:color="auto" w:fill="FFFFFF"/>
        <w:spacing w:after="120"/>
        <w:ind w:firstLine="567"/>
        <w:contextualSpacing/>
        <w:jc w:val="both"/>
        <w:rPr>
          <w:b/>
          <w:bCs/>
          <w:sz w:val="28"/>
          <w:szCs w:val="28"/>
          <w:lang w:eastAsia="uk-UA"/>
        </w:rPr>
      </w:pPr>
      <w:bookmarkStart w:id="2" w:name="n3487"/>
      <w:bookmarkEnd w:id="2"/>
    </w:p>
    <w:p w:rsidR="002E7AEF" w:rsidRPr="00D73594" w:rsidRDefault="002E7AEF" w:rsidP="001F2DC5">
      <w:pPr>
        <w:shd w:val="clear" w:color="auto" w:fill="FFFFFF"/>
        <w:spacing w:before="120" w:after="120"/>
        <w:ind w:firstLine="567"/>
        <w:contextualSpacing/>
        <w:jc w:val="both"/>
        <w:rPr>
          <w:b/>
          <w:bCs/>
          <w:sz w:val="28"/>
          <w:szCs w:val="28"/>
          <w:lang w:eastAsia="uk-UA"/>
        </w:rPr>
      </w:pPr>
      <w:r w:rsidRPr="00D73594">
        <w:rPr>
          <w:b/>
          <w:bCs/>
          <w:sz w:val="28"/>
          <w:szCs w:val="28"/>
          <w:lang w:eastAsia="uk-UA"/>
        </w:rPr>
        <w:t>2. Обґрунтування необхідності прийняття акта</w:t>
      </w:r>
    </w:p>
    <w:p w:rsidR="00D54B42" w:rsidRPr="001F2DC5" w:rsidRDefault="00A844F3" w:rsidP="00C17440">
      <w:pPr>
        <w:pStyle w:val="a7"/>
        <w:spacing w:line="276" w:lineRule="auto"/>
        <w:ind w:firstLine="567"/>
        <w:jc w:val="both"/>
        <w:rPr>
          <w:sz w:val="28"/>
          <w:szCs w:val="28"/>
        </w:rPr>
      </w:pPr>
      <w:bookmarkStart w:id="3" w:name="n1704"/>
      <w:bookmarkStart w:id="4" w:name="n1705"/>
      <w:bookmarkStart w:id="5" w:name="n1708"/>
      <w:bookmarkEnd w:id="3"/>
      <w:bookmarkEnd w:id="4"/>
      <w:bookmarkEnd w:id="5"/>
      <w:proofErr w:type="spellStart"/>
      <w:r w:rsidRPr="001F2DC5">
        <w:rPr>
          <w:sz w:val="28"/>
          <w:szCs w:val="28"/>
        </w:rPr>
        <w:t>П</w:t>
      </w:r>
      <w:r w:rsidR="00891061" w:rsidRPr="001F2DC5">
        <w:rPr>
          <w:sz w:val="28"/>
          <w:szCs w:val="28"/>
        </w:rPr>
        <w:t>роєкт</w:t>
      </w:r>
      <w:proofErr w:type="spellEnd"/>
      <w:r w:rsidR="00D55225" w:rsidRPr="001F2DC5">
        <w:rPr>
          <w:sz w:val="28"/>
          <w:szCs w:val="28"/>
        </w:rPr>
        <w:t xml:space="preserve"> </w:t>
      </w:r>
      <w:r w:rsidR="00314B9A">
        <w:rPr>
          <w:sz w:val="28"/>
          <w:szCs w:val="28"/>
        </w:rPr>
        <w:t>наказу</w:t>
      </w:r>
      <w:r w:rsidR="00D55225" w:rsidRPr="001F2DC5">
        <w:rPr>
          <w:sz w:val="28"/>
          <w:szCs w:val="28"/>
        </w:rPr>
        <w:t xml:space="preserve"> </w:t>
      </w:r>
      <w:r w:rsidR="00A9224C" w:rsidRPr="001F2DC5">
        <w:rPr>
          <w:sz w:val="28"/>
          <w:szCs w:val="28"/>
        </w:rPr>
        <w:t xml:space="preserve">розроблено </w:t>
      </w:r>
      <w:r w:rsidR="00785E47" w:rsidRPr="001F2DC5">
        <w:rPr>
          <w:sz w:val="28"/>
          <w:szCs w:val="28"/>
        </w:rPr>
        <w:t xml:space="preserve">відповідно </w:t>
      </w:r>
      <w:r w:rsidR="00FD48BF" w:rsidRPr="001F2DC5">
        <w:rPr>
          <w:sz w:val="28"/>
          <w:szCs w:val="28"/>
        </w:rPr>
        <w:t xml:space="preserve">до </w:t>
      </w:r>
      <w:r w:rsidR="00566B3A" w:rsidRPr="001F2DC5">
        <w:rPr>
          <w:sz w:val="28"/>
          <w:szCs w:val="28"/>
        </w:rPr>
        <w:t>статті 17</w:t>
      </w:r>
      <w:r w:rsidR="00C17440">
        <w:rPr>
          <w:sz w:val="28"/>
          <w:szCs w:val="28"/>
        </w:rPr>
        <w:t xml:space="preserve"> Закону, якою </w:t>
      </w:r>
      <w:r w:rsidR="004840D7" w:rsidRPr="001F2DC5">
        <w:rPr>
          <w:sz w:val="28"/>
          <w:szCs w:val="28"/>
        </w:rPr>
        <w:t>визначено, що о</w:t>
      </w:r>
      <w:r w:rsidR="00D54B42" w:rsidRPr="001F2DC5">
        <w:rPr>
          <w:sz w:val="28"/>
          <w:szCs w:val="28"/>
        </w:rPr>
        <w:t xml:space="preserve">ператор установки забезпечує дотримання умов інтегрованого </w:t>
      </w:r>
      <w:proofErr w:type="spellStart"/>
      <w:r w:rsidR="00D54B42" w:rsidRPr="001F2DC5">
        <w:rPr>
          <w:sz w:val="28"/>
          <w:szCs w:val="28"/>
        </w:rPr>
        <w:t>довкіллєвого</w:t>
      </w:r>
      <w:proofErr w:type="spellEnd"/>
      <w:r w:rsidR="00D54B42" w:rsidRPr="001F2DC5">
        <w:rPr>
          <w:sz w:val="28"/>
          <w:szCs w:val="28"/>
        </w:rPr>
        <w:t xml:space="preserve"> дозволу та згідно з </w:t>
      </w:r>
      <w:hyperlink r:id="rId7" w:anchor="n158" w:history="1">
        <w:r w:rsidR="00D54B42" w:rsidRPr="001F2DC5">
          <w:rPr>
            <w:sz w:val="28"/>
            <w:szCs w:val="28"/>
          </w:rPr>
          <w:t>пунктом 6</w:t>
        </w:r>
      </w:hyperlink>
      <w:r w:rsidR="00D54B42" w:rsidRPr="001F2DC5">
        <w:rPr>
          <w:sz w:val="28"/>
          <w:szCs w:val="28"/>
        </w:rPr>
        <w:t xml:space="preserve"> частини шостої статті 10 цього Закону подає до дозвільного органу через засоби </w:t>
      </w:r>
      <w:r w:rsidR="004840D7" w:rsidRPr="001F2DC5">
        <w:rPr>
          <w:sz w:val="28"/>
          <w:szCs w:val="28"/>
        </w:rPr>
        <w:t xml:space="preserve">Єдиного державного реєстру інтегрованих </w:t>
      </w:r>
      <w:proofErr w:type="spellStart"/>
      <w:r w:rsidR="004840D7" w:rsidRPr="001F2DC5">
        <w:rPr>
          <w:sz w:val="28"/>
          <w:szCs w:val="28"/>
        </w:rPr>
        <w:t>довкіллєвих</w:t>
      </w:r>
      <w:proofErr w:type="spellEnd"/>
      <w:r w:rsidR="004840D7" w:rsidRPr="001F2DC5">
        <w:rPr>
          <w:sz w:val="28"/>
          <w:szCs w:val="28"/>
        </w:rPr>
        <w:t xml:space="preserve"> дозволів (далі – Реєстр)</w:t>
      </w:r>
      <w:r w:rsidR="00D54B42" w:rsidRPr="001F2DC5">
        <w:rPr>
          <w:sz w:val="28"/>
          <w:szCs w:val="28"/>
        </w:rPr>
        <w:t xml:space="preserve"> звіт оператора установки про дотримання умов інтегрованого </w:t>
      </w:r>
      <w:proofErr w:type="spellStart"/>
      <w:r w:rsidR="00D54B42" w:rsidRPr="001F2DC5">
        <w:rPr>
          <w:sz w:val="28"/>
          <w:szCs w:val="28"/>
        </w:rPr>
        <w:t>довкіллєвого</w:t>
      </w:r>
      <w:proofErr w:type="spellEnd"/>
      <w:r w:rsidR="00D54B42" w:rsidRPr="001F2DC5">
        <w:rPr>
          <w:sz w:val="28"/>
          <w:szCs w:val="28"/>
        </w:rPr>
        <w:t xml:space="preserve"> дозволу.</w:t>
      </w:r>
    </w:p>
    <w:p w:rsidR="008B146B" w:rsidRPr="001F2DC5" w:rsidRDefault="004840D7" w:rsidP="001F2DC5">
      <w:pPr>
        <w:pStyle w:val="a7"/>
        <w:spacing w:line="276" w:lineRule="auto"/>
        <w:ind w:firstLine="567"/>
        <w:jc w:val="both"/>
        <w:rPr>
          <w:sz w:val="28"/>
          <w:szCs w:val="28"/>
        </w:rPr>
      </w:pPr>
      <w:r w:rsidRPr="001F2DC5">
        <w:rPr>
          <w:sz w:val="28"/>
          <w:szCs w:val="28"/>
        </w:rPr>
        <w:t>У зв'язку з цим, виникла необхідність розроблення проєкту акта.</w:t>
      </w:r>
    </w:p>
    <w:p w:rsidR="001F2DC5" w:rsidRDefault="001F2DC5" w:rsidP="001F2DC5">
      <w:pPr>
        <w:shd w:val="clear" w:color="auto" w:fill="FFFFFF"/>
        <w:spacing w:after="120" w:line="276" w:lineRule="auto"/>
        <w:ind w:firstLine="567"/>
        <w:contextualSpacing/>
        <w:jc w:val="both"/>
        <w:rPr>
          <w:b/>
          <w:bCs/>
          <w:sz w:val="28"/>
          <w:szCs w:val="28"/>
          <w:lang w:eastAsia="uk-UA"/>
        </w:rPr>
      </w:pPr>
    </w:p>
    <w:p w:rsidR="00246EEF" w:rsidRPr="00D73594" w:rsidRDefault="00566B3A" w:rsidP="00924667">
      <w:pPr>
        <w:shd w:val="clear" w:color="auto" w:fill="FFFFFF"/>
        <w:spacing w:before="120" w:after="120" w:line="276" w:lineRule="auto"/>
        <w:ind w:firstLine="567"/>
        <w:contextualSpacing/>
        <w:jc w:val="both"/>
        <w:rPr>
          <w:b/>
          <w:bCs/>
          <w:sz w:val="28"/>
          <w:szCs w:val="28"/>
          <w:lang w:eastAsia="uk-UA"/>
        </w:rPr>
      </w:pPr>
      <w:r w:rsidRPr="00D73594">
        <w:rPr>
          <w:b/>
          <w:bCs/>
          <w:sz w:val="28"/>
          <w:szCs w:val="28"/>
          <w:lang w:eastAsia="uk-UA"/>
        </w:rPr>
        <w:t>3. Основні положення проє</w:t>
      </w:r>
      <w:r w:rsidR="00246EEF" w:rsidRPr="00D73594">
        <w:rPr>
          <w:b/>
          <w:bCs/>
          <w:sz w:val="28"/>
          <w:szCs w:val="28"/>
          <w:lang w:eastAsia="uk-UA"/>
        </w:rPr>
        <w:t>кту акта</w:t>
      </w:r>
    </w:p>
    <w:p w:rsidR="004840D7" w:rsidRPr="001F2DC5" w:rsidRDefault="007404DE" w:rsidP="001F2DC5">
      <w:pPr>
        <w:pStyle w:val="a7"/>
        <w:spacing w:line="276" w:lineRule="auto"/>
        <w:ind w:firstLine="567"/>
        <w:jc w:val="both"/>
        <w:rPr>
          <w:sz w:val="28"/>
          <w:szCs w:val="28"/>
        </w:rPr>
      </w:pPr>
      <w:proofErr w:type="spellStart"/>
      <w:r w:rsidRPr="001F2DC5">
        <w:rPr>
          <w:sz w:val="28"/>
          <w:szCs w:val="28"/>
        </w:rPr>
        <w:t>Проєктом</w:t>
      </w:r>
      <w:proofErr w:type="spellEnd"/>
      <w:r w:rsidRPr="001F2DC5">
        <w:rPr>
          <w:sz w:val="28"/>
          <w:szCs w:val="28"/>
        </w:rPr>
        <w:t xml:space="preserve"> </w:t>
      </w:r>
      <w:r w:rsidR="00314B9A">
        <w:rPr>
          <w:sz w:val="28"/>
          <w:szCs w:val="28"/>
        </w:rPr>
        <w:t>наказу</w:t>
      </w:r>
      <w:r w:rsidRPr="001F2DC5">
        <w:rPr>
          <w:sz w:val="28"/>
          <w:szCs w:val="28"/>
        </w:rPr>
        <w:t xml:space="preserve"> </w:t>
      </w:r>
      <w:r w:rsidR="006364FE" w:rsidRPr="001F2DC5">
        <w:rPr>
          <w:sz w:val="28"/>
          <w:szCs w:val="28"/>
        </w:rPr>
        <w:t xml:space="preserve">пропонується </w:t>
      </w:r>
      <w:r w:rsidR="00EC7143" w:rsidRPr="001F2DC5">
        <w:rPr>
          <w:sz w:val="28"/>
          <w:szCs w:val="28"/>
        </w:rPr>
        <w:t xml:space="preserve">затвердити </w:t>
      </w:r>
      <w:r w:rsidR="008B29AA" w:rsidRPr="001F2DC5">
        <w:rPr>
          <w:sz w:val="28"/>
          <w:szCs w:val="28"/>
        </w:rPr>
        <w:t xml:space="preserve">форму </w:t>
      </w:r>
      <w:r w:rsidR="00566B3A" w:rsidRPr="001F2DC5">
        <w:rPr>
          <w:sz w:val="28"/>
          <w:szCs w:val="28"/>
        </w:rPr>
        <w:t xml:space="preserve">звіту оператора установки про дотримання умов інтегрованого </w:t>
      </w:r>
      <w:proofErr w:type="spellStart"/>
      <w:r w:rsidR="00566B3A" w:rsidRPr="001F2DC5">
        <w:rPr>
          <w:sz w:val="28"/>
          <w:szCs w:val="28"/>
        </w:rPr>
        <w:t>довкіллєвого</w:t>
      </w:r>
      <w:proofErr w:type="spellEnd"/>
      <w:r w:rsidR="00566B3A" w:rsidRPr="001F2DC5">
        <w:rPr>
          <w:sz w:val="28"/>
          <w:szCs w:val="28"/>
        </w:rPr>
        <w:t xml:space="preserve"> дозволу , а також </w:t>
      </w:r>
      <w:r w:rsidR="008B29AA" w:rsidRPr="001F2DC5">
        <w:rPr>
          <w:sz w:val="28"/>
          <w:szCs w:val="28"/>
        </w:rPr>
        <w:t xml:space="preserve"> вимоги до змісту </w:t>
      </w:r>
      <w:r w:rsidR="00566B3A" w:rsidRPr="001F2DC5">
        <w:rPr>
          <w:sz w:val="28"/>
          <w:szCs w:val="28"/>
        </w:rPr>
        <w:t xml:space="preserve">звіту оператора установки про дотримання умов інтегрованого </w:t>
      </w:r>
      <w:proofErr w:type="spellStart"/>
      <w:r w:rsidR="00566B3A" w:rsidRPr="001F2DC5">
        <w:rPr>
          <w:sz w:val="28"/>
          <w:szCs w:val="28"/>
        </w:rPr>
        <w:t>довкіллєвого</w:t>
      </w:r>
      <w:proofErr w:type="spellEnd"/>
      <w:r w:rsidR="00566B3A" w:rsidRPr="001F2DC5">
        <w:rPr>
          <w:sz w:val="28"/>
          <w:szCs w:val="28"/>
        </w:rPr>
        <w:t xml:space="preserve"> дозволу</w:t>
      </w:r>
      <w:r w:rsidR="004840D7" w:rsidRPr="001F2DC5">
        <w:rPr>
          <w:sz w:val="28"/>
          <w:szCs w:val="28"/>
        </w:rPr>
        <w:t xml:space="preserve">, який подаватиметься операторами установок один раз на рік не пізніше 31 березня року, наступного за звітним. </w:t>
      </w:r>
    </w:p>
    <w:p w:rsidR="00C17440" w:rsidRDefault="004840D7" w:rsidP="00D0421B">
      <w:pPr>
        <w:pStyle w:val="a7"/>
        <w:spacing w:line="276" w:lineRule="auto"/>
        <w:ind w:firstLine="567"/>
        <w:jc w:val="both"/>
        <w:rPr>
          <w:sz w:val="28"/>
          <w:szCs w:val="28"/>
        </w:rPr>
      </w:pPr>
      <w:r w:rsidRPr="001F2DC5">
        <w:rPr>
          <w:sz w:val="28"/>
          <w:szCs w:val="28"/>
        </w:rPr>
        <w:t xml:space="preserve">У разі надання відступу згідно із </w:t>
      </w:r>
      <w:hyperlink r:id="rId8" w:anchor="n193" w:history="1">
        <w:r w:rsidRPr="001F2DC5">
          <w:rPr>
            <w:sz w:val="28"/>
            <w:szCs w:val="28"/>
          </w:rPr>
          <w:t>статтею 13</w:t>
        </w:r>
      </w:hyperlink>
      <w:r w:rsidRPr="001F2DC5">
        <w:rPr>
          <w:sz w:val="28"/>
          <w:szCs w:val="28"/>
        </w:rPr>
        <w:t xml:space="preserve"> Закону Міндовкілля може встановити зобов’язання подання звіту оператора установки про дотримання умов інтегрованого </w:t>
      </w:r>
      <w:proofErr w:type="spellStart"/>
      <w:r w:rsidRPr="001F2DC5">
        <w:rPr>
          <w:sz w:val="28"/>
          <w:szCs w:val="28"/>
        </w:rPr>
        <w:t>довкіллєвого</w:t>
      </w:r>
      <w:proofErr w:type="spellEnd"/>
      <w:r w:rsidRPr="001F2DC5">
        <w:rPr>
          <w:sz w:val="28"/>
          <w:szCs w:val="28"/>
        </w:rPr>
        <w:t xml:space="preserve"> дозволу більше ніж один раз на рік.</w:t>
      </w:r>
    </w:p>
    <w:p w:rsidR="00D0421B" w:rsidRPr="00D0421B" w:rsidRDefault="00D0421B" w:rsidP="00D0421B">
      <w:pPr>
        <w:pStyle w:val="a7"/>
        <w:spacing w:line="276" w:lineRule="auto"/>
        <w:ind w:firstLine="567"/>
        <w:jc w:val="both"/>
        <w:rPr>
          <w:sz w:val="28"/>
          <w:szCs w:val="28"/>
        </w:rPr>
      </w:pPr>
    </w:p>
    <w:p w:rsidR="002774A2" w:rsidRPr="00D73594" w:rsidRDefault="002774A2" w:rsidP="001F2DC5">
      <w:pPr>
        <w:pStyle w:val="1"/>
        <w:tabs>
          <w:tab w:val="left" w:pos="1572"/>
        </w:tabs>
        <w:spacing w:after="120" w:line="276" w:lineRule="auto"/>
        <w:ind w:firstLine="567"/>
        <w:jc w:val="both"/>
        <w:rPr>
          <w:rFonts w:ascii="Times New Roman" w:hAnsi="Times New Roman"/>
          <w:b/>
          <w:bCs/>
          <w:sz w:val="28"/>
          <w:szCs w:val="28"/>
          <w:lang w:val="uk-UA"/>
        </w:rPr>
      </w:pPr>
      <w:r w:rsidRPr="00D73594">
        <w:rPr>
          <w:rFonts w:ascii="Times New Roman" w:hAnsi="Times New Roman"/>
          <w:b/>
          <w:bCs/>
          <w:sz w:val="28"/>
          <w:szCs w:val="28"/>
          <w:lang w:val="uk-UA"/>
        </w:rPr>
        <w:t>4. Правові аспекти</w:t>
      </w:r>
    </w:p>
    <w:p w:rsidR="00517D69" w:rsidRDefault="00517D69" w:rsidP="00517D69">
      <w:pPr>
        <w:pStyle w:val="1"/>
        <w:spacing w:line="276" w:lineRule="auto"/>
        <w:ind w:firstLine="567"/>
        <w:jc w:val="both"/>
        <w:rPr>
          <w:rFonts w:ascii="Times New Roman" w:hAnsi="Times New Roman"/>
          <w:bCs/>
          <w:sz w:val="28"/>
          <w:szCs w:val="28"/>
          <w:shd w:val="clear" w:color="auto" w:fill="FFFFFF"/>
          <w:lang w:val="uk-UA"/>
        </w:rPr>
      </w:pPr>
      <w:r w:rsidRPr="003B6AF1">
        <w:rPr>
          <w:rFonts w:ascii="Times New Roman" w:hAnsi="Times New Roman"/>
          <w:bCs/>
          <w:sz w:val="28"/>
          <w:szCs w:val="28"/>
          <w:shd w:val="clear" w:color="auto" w:fill="FFFFFF"/>
          <w:lang w:val="uk-UA"/>
        </w:rPr>
        <w:t>У цій сфері правового регулювання ді</w:t>
      </w:r>
      <w:r w:rsidR="00D0421B">
        <w:rPr>
          <w:rFonts w:ascii="Times New Roman" w:hAnsi="Times New Roman"/>
          <w:bCs/>
          <w:sz w:val="28"/>
          <w:szCs w:val="28"/>
          <w:shd w:val="clear" w:color="auto" w:fill="FFFFFF"/>
          <w:lang w:val="uk-UA"/>
        </w:rPr>
        <w:t>ють</w:t>
      </w:r>
      <w:r w:rsidRPr="003B6AF1">
        <w:rPr>
          <w:rFonts w:ascii="Times New Roman" w:hAnsi="Times New Roman"/>
          <w:bCs/>
          <w:sz w:val="28"/>
          <w:szCs w:val="28"/>
          <w:shd w:val="clear" w:color="auto" w:fill="FFFFFF"/>
          <w:lang w:val="uk-UA"/>
        </w:rPr>
        <w:t>:</w:t>
      </w:r>
    </w:p>
    <w:p w:rsidR="002774A2" w:rsidRPr="001F2DC5" w:rsidRDefault="002774A2" w:rsidP="001F2DC5">
      <w:pPr>
        <w:pStyle w:val="a7"/>
        <w:ind w:firstLine="567"/>
        <w:jc w:val="both"/>
        <w:rPr>
          <w:sz w:val="28"/>
          <w:szCs w:val="28"/>
        </w:rPr>
      </w:pPr>
      <w:r w:rsidRPr="001F2DC5">
        <w:rPr>
          <w:bCs/>
          <w:sz w:val="28"/>
          <w:szCs w:val="28"/>
          <w:shd w:val="clear" w:color="auto" w:fill="FFFFFF"/>
        </w:rPr>
        <w:lastRenderedPageBreak/>
        <w:t xml:space="preserve">Закон України </w:t>
      </w:r>
      <w:r w:rsidRPr="001F2DC5">
        <w:rPr>
          <w:sz w:val="28"/>
          <w:szCs w:val="28"/>
        </w:rPr>
        <w:t>«Про охорону навколишнього природного середовища»;</w:t>
      </w:r>
    </w:p>
    <w:p w:rsidR="001F2DC5" w:rsidRDefault="00517D69" w:rsidP="00517D69">
      <w:pPr>
        <w:autoSpaceDE w:val="0"/>
        <w:autoSpaceDN w:val="0"/>
        <w:adjustRightInd w:val="0"/>
        <w:spacing w:line="276" w:lineRule="auto"/>
        <w:ind w:right="4" w:firstLine="567"/>
        <w:jc w:val="both"/>
        <w:rPr>
          <w:sz w:val="28"/>
          <w:szCs w:val="28"/>
        </w:rPr>
      </w:pPr>
      <w:r w:rsidRPr="001F2DC5">
        <w:rPr>
          <w:bCs/>
          <w:sz w:val="28"/>
          <w:szCs w:val="28"/>
          <w:shd w:val="clear" w:color="auto" w:fill="FFFFFF"/>
        </w:rPr>
        <w:t>Закон України</w:t>
      </w:r>
      <w:r>
        <w:rPr>
          <w:bCs/>
          <w:sz w:val="28"/>
          <w:szCs w:val="28"/>
          <w:shd w:val="clear" w:color="auto" w:fill="FFFFFF"/>
        </w:rPr>
        <w:t xml:space="preserve"> </w:t>
      </w:r>
      <w:r w:rsidRPr="001F2DC5">
        <w:rPr>
          <w:bCs/>
          <w:sz w:val="28"/>
          <w:szCs w:val="28"/>
          <w:shd w:val="clear" w:color="auto" w:fill="FFFFFF"/>
        </w:rPr>
        <w:t>«</w:t>
      </w:r>
      <w:r w:rsidRPr="001F2DC5">
        <w:rPr>
          <w:sz w:val="28"/>
          <w:szCs w:val="28"/>
        </w:rPr>
        <w:t>Про</w:t>
      </w:r>
      <w:r>
        <w:rPr>
          <w:sz w:val="28"/>
          <w:szCs w:val="28"/>
        </w:rPr>
        <w:t xml:space="preserve"> управління відходами»;</w:t>
      </w:r>
    </w:p>
    <w:p w:rsidR="00517D69" w:rsidRPr="001F2DC5" w:rsidRDefault="00517D69" w:rsidP="00517D69">
      <w:pPr>
        <w:pStyle w:val="a7"/>
        <w:ind w:firstLine="567"/>
        <w:jc w:val="both"/>
        <w:rPr>
          <w:bCs/>
          <w:sz w:val="28"/>
          <w:szCs w:val="28"/>
          <w:shd w:val="clear" w:color="auto" w:fill="FFFFFF"/>
        </w:rPr>
      </w:pPr>
      <w:r w:rsidRPr="001F2DC5">
        <w:rPr>
          <w:bCs/>
          <w:sz w:val="28"/>
          <w:szCs w:val="28"/>
          <w:shd w:val="clear" w:color="auto" w:fill="FFFFFF"/>
        </w:rPr>
        <w:t>Закон України «</w:t>
      </w:r>
      <w:r w:rsidRPr="001F2DC5">
        <w:rPr>
          <w:sz w:val="28"/>
          <w:szCs w:val="28"/>
        </w:rPr>
        <w:t>Про інтегроване запобігання та контроль промислового забруднення</w:t>
      </w:r>
      <w:r w:rsidRPr="001F2DC5">
        <w:rPr>
          <w:bCs/>
          <w:sz w:val="28"/>
          <w:szCs w:val="28"/>
          <w:shd w:val="clear" w:color="auto" w:fill="FFFFFF"/>
        </w:rPr>
        <w:t>»</w:t>
      </w:r>
      <w:r>
        <w:rPr>
          <w:bCs/>
          <w:sz w:val="28"/>
          <w:szCs w:val="28"/>
          <w:shd w:val="clear" w:color="auto" w:fill="FFFFFF"/>
        </w:rPr>
        <w:t>.</w:t>
      </w:r>
    </w:p>
    <w:p w:rsidR="002774A2" w:rsidRPr="00D73594" w:rsidRDefault="002774A2" w:rsidP="00517D69">
      <w:pPr>
        <w:autoSpaceDE w:val="0"/>
        <w:autoSpaceDN w:val="0"/>
        <w:adjustRightInd w:val="0"/>
        <w:spacing w:before="240" w:after="120" w:line="276" w:lineRule="auto"/>
        <w:ind w:right="4" w:firstLine="567"/>
        <w:jc w:val="both"/>
        <w:rPr>
          <w:b/>
          <w:bCs/>
          <w:sz w:val="28"/>
          <w:szCs w:val="28"/>
        </w:rPr>
      </w:pPr>
      <w:r w:rsidRPr="00D73594">
        <w:rPr>
          <w:b/>
          <w:bCs/>
          <w:sz w:val="28"/>
          <w:szCs w:val="28"/>
        </w:rPr>
        <w:t>5. Фінансово-економічне обґрунтування</w:t>
      </w:r>
    </w:p>
    <w:p w:rsidR="004840D7" w:rsidRPr="00D73594" w:rsidRDefault="004840D7" w:rsidP="00924667">
      <w:pPr>
        <w:spacing w:before="120" w:line="276" w:lineRule="auto"/>
        <w:ind w:firstLine="567"/>
        <w:jc w:val="both"/>
        <w:rPr>
          <w:sz w:val="28"/>
          <w:szCs w:val="28"/>
        </w:rPr>
      </w:pPr>
      <w:r w:rsidRPr="00D73594">
        <w:rPr>
          <w:sz w:val="28"/>
          <w:szCs w:val="28"/>
        </w:rPr>
        <w:t xml:space="preserve">Реалізація проєкту </w:t>
      </w:r>
      <w:r w:rsidR="00834806">
        <w:rPr>
          <w:sz w:val="28"/>
          <w:szCs w:val="28"/>
        </w:rPr>
        <w:t>наказу</w:t>
      </w:r>
      <w:r w:rsidRPr="00D73594">
        <w:rPr>
          <w:sz w:val="28"/>
          <w:szCs w:val="28"/>
        </w:rPr>
        <w:t xml:space="preserve"> не потребує додаткового фінансування з державного чи місцевих бюджетів та буде здійснюватиметься в межах існуючої штатної чисельності працівників і видатків, передбачених у Державному бюджеті України на відповідний рік, а також коштів з інших джерел, не заборонених законодавством. </w:t>
      </w:r>
    </w:p>
    <w:p w:rsidR="002774A2" w:rsidRPr="00D73594" w:rsidRDefault="004840D7" w:rsidP="00924667">
      <w:pPr>
        <w:spacing w:after="240" w:line="276" w:lineRule="auto"/>
        <w:ind w:firstLine="567"/>
        <w:jc w:val="both"/>
        <w:rPr>
          <w:sz w:val="28"/>
          <w:szCs w:val="28"/>
        </w:rPr>
      </w:pPr>
      <w:r w:rsidRPr="00834806">
        <w:rPr>
          <w:sz w:val="28"/>
          <w:szCs w:val="28"/>
        </w:rPr>
        <w:t>Реєстр</w:t>
      </w:r>
      <w:r w:rsidRPr="00D73594">
        <w:rPr>
          <w:sz w:val="28"/>
          <w:szCs w:val="28"/>
        </w:rPr>
        <w:t xml:space="preserve"> розробляється відповідно до архітектури державної системи ДІЯ в рамках проєкту «Найкращі доступні технології та методи управління (НДТМ) для України», який реалізується GIZ та фінансується Федеральним міністерством навколишнього середовища, охорони природи, ядерної безпеки та захисту споживачів Німеччини, без залучення коштів державного та місцевих бюджетів України. Після розробки Реєстр буде передано Міндовкілля та функціонуватиме в рамках Єдиної екологічної платформи «</w:t>
      </w:r>
      <w:proofErr w:type="spellStart"/>
      <w:r w:rsidRPr="00D73594">
        <w:rPr>
          <w:sz w:val="28"/>
          <w:szCs w:val="28"/>
        </w:rPr>
        <w:t>ЕкоСистема</w:t>
      </w:r>
      <w:proofErr w:type="spellEnd"/>
      <w:r w:rsidRPr="00D73594">
        <w:rPr>
          <w:sz w:val="28"/>
          <w:szCs w:val="28"/>
        </w:rPr>
        <w:t>», держателем якої є Міндовкілля, а технічним адміністратором – Державне підприємство «ДІЯ», що належить до сфери управління Мінцифри. Подальше фінансування роботи і підтримки Реєстру здійснюватиметься в рамках витрат на фінансування «</w:t>
      </w:r>
      <w:proofErr w:type="spellStart"/>
      <w:r w:rsidRPr="00D73594">
        <w:rPr>
          <w:sz w:val="28"/>
          <w:szCs w:val="28"/>
        </w:rPr>
        <w:t>ЕкоСистеми</w:t>
      </w:r>
      <w:proofErr w:type="spellEnd"/>
      <w:r w:rsidRPr="00D73594">
        <w:rPr>
          <w:sz w:val="28"/>
          <w:szCs w:val="28"/>
        </w:rPr>
        <w:t>».</w:t>
      </w:r>
    </w:p>
    <w:p w:rsidR="002774A2" w:rsidRPr="00D73594" w:rsidRDefault="002774A2" w:rsidP="00924667">
      <w:pPr>
        <w:autoSpaceDE w:val="0"/>
        <w:autoSpaceDN w:val="0"/>
        <w:adjustRightInd w:val="0"/>
        <w:spacing w:before="120" w:after="120" w:line="276" w:lineRule="auto"/>
        <w:ind w:right="4" w:firstLine="567"/>
        <w:jc w:val="both"/>
        <w:rPr>
          <w:b/>
          <w:bCs/>
          <w:sz w:val="28"/>
          <w:szCs w:val="28"/>
        </w:rPr>
      </w:pPr>
      <w:r w:rsidRPr="00D73594">
        <w:rPr>
          <w:b/>
          <w:bCs/>
          <w:sz w:val="28"/>
          <w:szCs w:val="28"/>
        </w:rPr>
        <w:t xml:space="preserve">6. Позиція заінтересованих сторін </w:t>
      </w:r>
    </w:p>
    <w:p w:rsidR="002774A2" w:rsidRPr="00D73594" w:rsidRDefault="002774A2" w:rsidP="00924667">
      <w:pPr>
        <w:spacing w:line="276" w:lineRule="auto"/>
        <w:ind w:firstLine="567"/>
        <w:jc w:val="both"/>
        <w:rPr>
          <w:sz w:val="28"/>
          <w:szCs w:val="28"/>
        </w:rPr>
      </w:pPr>
      <w:r w:rsidRPr="00D73594">
        <w:rPr>
          <w:sz w:val="28"/>
          <w:szCs w:val="28"/>
        </w:rPr>
        <w:t xml:space="preserve">Публічні консультації проводяться відповідно до </w:t>
      </w:r>
      <w:hyperlink r:id="rId9" w:anchor="n30" w:tgtFrame="_blank" w:history="1">
        <w:r w:rsidRPr="00D73594">
          <w:rPr>
            <w:sz w:val="28"/>
            <w:szCs w:val="28"/>
          </w:rPr>
          <w:t>Порядку проведення консультацій з громадськістю з питань формування та реалізації державної політики</w:t>
        </w:r>
      </w:hyperlink>
      <w:r w:rsidRPr="00D73594">
        <w:rPr>
          <w:sz w:val="28"/>
          <w:szCs w:val="28"/>
        </w:rPr>
        <w:t xml:space="preserve">, затвердженого постановою Кабінету Міністрів України </w:t>
      </w:r>
      <w:r w:rsidRPr="00D73594">
        <w:rPr>
          <w:sz w:val="28"/>
          <w:szCs w:val="28"/>
        </w:rPr>
        <w:br/>
        <w:t>від 03.11.2010 № 996, шляхом отримання та аналізу пропозицій і зауважень, що надходять під час публічного громадського обговорення, електронних консультацій з громадськістю.</w:t>
      </w:r>
    </w:p>
    <w:p w:rsidR="00FD48BF" w:rsidRPr="00075033" w:rsidRDefault="00FD48BF" w:rsidP="001F2DC5">
      <w:pPr>
        <w:tabs>
          <w:tab w:val="left" w:pos="567"/>
        </w:tabs>
        <w:spacing w:line="276" w:lineRule="auto"/>
        <w:ind w:firstLine="567"/>
        <w:jc w:val="both"/>
        <w:rPr>
          <w:sz w:val="28"/>
          <w:szCs w:val="28"/>
        </w:rPr>
      </w:pPr>
      <w:proofErr w:type="spellStart"/>
      <w:r w:rsidRPr="00075033">
        <w:rPr>
          <w:sz w:val="28"/>
          <w:szCs w:val="28"/>
        </w:rPr>
        <w:t>Про</w:t>
      </w:r>
      <w:r>
        <w:rPr>
          <w:sz w:val="28"/>
          <w:szCs w:val="28"/>
        </w:rPr>
        <w:t>є</w:t>
      </w:r>
      <w:r w:rsidRPr="00075033">
        <w:rPr>
          <w:sz w:val="28"/>
          <w:szCs w:val="28"/>
        </w:rPr>
        <w:t>кт</w:t>
      </w:r>
      <w:proofErr w:type="spellEnd"/>
      <w:r w:rsidRPr="00075033">
        <w:rPr>
          <w:sz w:val="28"/>
          <w:szCs w:val="28"/>
        </w:rPr>
        <w:t xml:space="preserve"> </w:t>
      </w:r>
      <w:r w:rsidR="00834806">
        <w:rPr>
          <w:sz w:val="28"/>
          <w:szCs w:val="28"/>
        </w:rPr>
        <w:t>наказу</w:t>
      </w:r>
      <w:r w:rsidRPr="00075033">
        <w:rPr>
          <w:sz w:val="28"/>
          <w:szCs w:val="28"/>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FD48BF" w:rsidRDefault="00FD48BF" w:rsidP="001F2DC5">
      <w:pPr>
        <w:tabs>
          <w:tab w:val="left" w:pos="567"/>
        </w:tabs>
        <w:spacing w:line="276" w:lineRule="auto"/>
        <w:ind w:firstLine="567"/>
        <w:jc w:val="both"/>
        <w:rPr>
          <w:sz w:val="28"/>
          <w:szCs w:val="28"/>
        </w:rPr>
      </w:pPr>
      <w:proofErr w:type="spellStart"/>
      <w:r>
        <w:rPr>
          <w:sz w:val="28"/>
          <w:szCs w:val="28"/>
        </w:rPr>
        <w:t>Проєк</w:t>
      </w:r>
      <w:r w:rsidRPr="00075033">
        <w:rPr>
          <w:sz w:val="28"/>
          <w:szCs w:val="28"/>
        </w:rPr>
        <w:t>т</w:t>
      </w:r>
      <w:proofErr w:type="spellEnd"/>
      <w:r w:rsidRPr="00075033">
        <w:rPr>
          <w:sz w:val="28"/>
          <w:szCs w:val="28"/>
        </w:rPr>
        <w:t xml:space="preserve"> </w:t>
      </w:r>
      <w:r w:rsidR="00834806">
        <w:rPr>
          <w:sz w:val="28"/>
          <w:szCs w:val="28"/>
        </w:rPr>
        <w:t>наказу</w:t>
      </w:r>
      <w:r w:rsidRPr="00075033">
        <w:rPr>
          <w:sz w:val="28"/>
          <w:szCs w:val="28"/>
        </w:rPr>
        <w:t xml:space="preserve"> не стосується сфери наукової та науково-технічної діяльності та не потребує розгляду Наукового комітету Національної ради з питань розвитку науки і технологій.</w:t>
      </w:r>
    </w:p>
    <w:p w:rsidR="00D0421B" w:rsidRPr="00075033" w:rsidRDefault="00D0421B" w:rsidP="001F2DC5">
      <w:pPr>
        <w:tabs>
          <w:tab w:val="left" w:pos="567"/>
        </w:tabs>
        <w:spacing w:line="276" w:lineRule="auto"/>
        <w:ind w:firstLine="567"/>
        <w:jc w:val="both"/>
        <w:rPr>
          <w:sz w:val="28"/>
          <w:szCs w:val="28"/>
        </w:rPr>
      </w:pPr>
    </w:p>
    <w:p w:rsidR="002774A2" w:rsidRPr="00D73594" w:rsidRDefault="002774A2" w:rsidP="00924667">
      <w:pPr>
        <w:autoSpaceDE w:val="0"/>
        <w:autoSpaceDN w:val="0"/>
        <w:adjustRightInd w:val="0"/>
        <w:spacing w:before="120" w:after="120" w:line="276" w:lineRule="auto"/>
        <w:ind w:right="4" w:firstLine="567"/>
        <w:jc w:val="both"/>
        <w:rPr>
          <w:b/>
          <w:bCs/>
          <w:sz w:val="28"/>
          <w:szCs w:val="28"/>
        </w:rPr>
      </w:pPr>
      <w:r w:rsidRPr="00D73594">
        <w:rPr>
          <w:b/>
          <w:bCs/>
          <w:sz w:val="28"/>
          <w:szCs w:val="28"/>
        </w:rPr>
        <w:lastRenderedPageBreak/>
        <w:t>7. Оцінка відповідності</w:t>
      </w:r>
    </w:p>
    <w:p w:rsidR="002774A2" w:rsidRPr="00D73594" w:rsidRDefault="002774A2" w:rsidP="00924667">
      <w:pPr>
        <w:spacing w:line="276" w:lineRule="auto"/>
        <w:ind w:firstLine="567"/>
        <w:jc w:val="both"/>
        <w:rPr>
          <w:bCs/>
          <w:sz w:val="28"/>
          <w:szCs w:val="28"/>
        </w:rPr>
      </w:pPr>
      <w:r w:rsidRPr="00D73594">
        <w:rPr>
          <w:bCs/>
          <w:sz w:val="28"/>
          <w:szCs w:val="28"/>
        </w:rPr>
        <w:t xml:space="preserve">У </w:t>
      </w:r>
      <w:proofErr w:type="spellStart"/>
      <w:r w:rsidRPr="00D73594">
        <w:rPr>
          <w:bCs/>
          <w:sz w:val="28"/>
          <w:szCs w:val="28"/>
        </w:rPr>
        <w:t>проєкті</w:t>
      </w:r>
      <w:proofErr w:type="spellEnd"/>
      <w:r w:rsidRPr="00D73594">
        <w:rPr>
          <w:bCs/>
          <w:sz w:val="28"/>
          <w:szCs w:val="28"/>
        </w:rPr>
        <w:t xml:space="preserve"> </w:t>
      </w:r>
      <w:r w:rsidR="00834806">
        <w:rPr>
          <w:bCs/>
          <w:sz w:val="28"/>
          <w:szCs w:val="28"/>
        </w:rPr>
        <w:t>наказу</w:t>
      </w:r>
      <w:r w:rsidRPr="00D73594">
        <w:rPr>
          <w:bCs/>
          <w:sz w:val="28"/>
          <w:szCs w:val="28"/>
        </w:rPr>
        <w:t xml:space="preserve"> відсутні процедури, які можуть містити ризики вчинення корупційних правопорушень та правопорушень, пов’язаних з корупцією.</w:t>
      </w:r>
    </w:p>
    <w:p w:rsidR="002774A2" w:rsidRPr="00D73594" w:rsidRDefault="002774A2" w:rsidP="00924667">
      <w:pPr>
        <w:autoSpaceDE w:val="0"/>
        <w:autoSpaceDN w:val="0"/>
        <w:adjustRightInd w:val="0"/>
        <w:spacing w:line="276" w:lineRule="auto"/>
        <w:ind w:right="4" w:firstLine="567"/>
        <w:jc w:val="both"/>
        <w:rPr>
          <w:sz w:val="28"/>
          <w:szCs w:val="28"/>
        </w:rPr>
      </w:pPr>
      <w:proofErr w:type="spellStart"/>
      <w:r w:rsidRPr="00D73594">
        <w:rPr>
          <w:sz w:val="28"/>
          <w:szCs w:val="28"/>
        </w:rPr>
        <w:t>Проєкт</w:t>
      </w:r>
      <w:proofErr w:type="spellEnd"/>
      <w:r w:rsidRPr="00D73594">
        <w:rPr>
          <w:sz w:val="28"/>
          <w:szCs w:val="28"/>
        </w:rPr>
        <w:t xml:space="preserve"> </w:t>
      </w:r>
      <w:r w:rsidR="00834806">
        <w:rPr>
          <w:sz w:val="28"/>
          <w:szCs w:val="28"/>
        </w:rPr>
        <w:t>наказу</w:t>
      </w:r>
      <w:bookmarkStart w:id="6" w:name="_GoBack"/>
      <w:bookmarkEnd w:id="6"/>
      <w:r w:rsidRPr="00D73594">
        <w:rPr>
          <w:sz w:val="28"/>
          <w:szCs w:val="28"/>
        </w:rPr>
        <w:t xml:space="preserve"> не містить положень, які: </w:t>
      </w:r>
    </w:p>
    <w:p w:rsidR="002774A2" w:rsidRPr="00D73594" w:rsidRDefault="002774A2" w:rsidP="00924667">
      <w:pPr>
        <w:autoSpaceDE w:val="0"/>
        <w:autoSpaceDN w:val="0"/>
        <w:adjustRightInd w:val="0"/>
        <w:spacing w:line="276" w:lineRule="auto"/>
        <w:ind w:right="4" w:firstLine="567"/>
        <w:jc w:val="both"/>
        <w:rPr>
          <w:sz w:val="28"/>
          <w:szCs w:val="28"/>
        </w:rPr>
      </w:pPr>
      <w:r w:rsidRPr="00D73594">
        <w:rPr>
          <w:sz w:val="28"/>
          <w:szCs w:val="28"/>
        </w:rPr>
        <w:t>стосуються прав та свобод, гарантованих Конвенцією про захист прав людини і основоположних свобод;</w:t>
      </w:r>
    </w:p>
    <w:p w:rsidR="002774A2" w:rsidRPr="00D73594" w:rsidRDefault="002774A2" w:rsidP="00924667">
      <w:pPr>
        <w:autoSpaceDE w:val="0"/>
        <w:autoSpaceDN w:val="0"/>
        <w:adjustRightInd w:val="0"/>
        <w:spacing w:line="276" w:lineRule="auto"/>
        <w:ind w:right="4" w:firstLine="567"/>
        <w:jc w:val="both"/>
        <w:rPr>
          <w:sz w:val="28"/>
          <w:szCs w:val="28"/>
        </w:rPr>
      </w:pPr>
      <w:r w:rsidRPr="00D73594">
        <w:rPr>
          <w:sz w:val="28"/>
          <w:szCs w:val="28"/>
        </w:rPr>
        <w:t>впливають на забезпечення рівних прав та можливостей жінок і чоловіків;</w:t>
      </w:r>
    </w:p>
    <w:p w:rsidR="002774A2" w:rsidRPr="00D73594" w:rsidRDefault="002774A2" w:rsidP="00924667">
      <w:pPr>
        <w:autoSpaceDE w:val="0"/>
        <w:autoSpaceDN w:val="0"/>
        <w:adjustRightInd w:val="0"/>
        <w:spacing w:line="276" w:lineRule="auto"/>
        <w:ind w:right="4" w:firstLine="567"/>
        <w:jc w:val="both"/>
        <w:rPr>
          <w:sz w:val="28"/>
          <w:szCs w:val="28"/>
        </w:rPr>
      </w:pPr>
      <w:r w:rsidRPr="00D73594">
        <w:rPr>
          <w:sz w:val="28"/>
          <w:szCs w:val="28"/>
        </w:rPr>
        <w:t>створюють підстави для дискримінації;</w:t>
      </w:r>
    </w:p>
    <w:p w:rsidR="002774A2" w:rsidRPr="00D73594" w:rsidRDefault="002774A2" w:rsidP="00924667">
      <w:pPr>
        <w:autoSpaceDE w:val="0"/>
        <w:autoSpaceDN w:val="0"/>
        <w:adjustRightInd w:val="0"/>
        <w:spacing w:line="276" w:lineRule="auto"/>
        <w:ind w:right="-22" w:firstLine="567"/>
        <w:jc w:val="both"/>
        <w:rPr>
          <w:bCs/>
          <w:sz w:val="28"/>
          <w:szCs w:val="28"/>
        </w:rPr>
      </w:pPr>
      <w:r w:rsidRPr="00D73594">
        <w:rPr>
          <w:bCs/>
          <w:sz w:val="28"/>
          <w:szCs w:val="28"/>
        </w:rPr>
        <w:t>стосуються інших ризиків та обмежень, які можуть виникнути під час реалізації акта.</w:t>
      </w:r>
    </w:p>
    <w:p w:rsidR="002774A2" w:rsidRPr="00D73594" w:rsidRDefault="002774A2" w:rsidP="00924667">
      <w:pPr>
        <w:autoSpaceDE w:val="0"/>
        <w:autoSpaceDN w:val="0"/>
        <w:adjustRightInd w:val="0"/>
        <w:spacing w:line="276" w:lineRule="auto"/>
        <w:ind w:right="-22" w:firstLine="567"/>
        <w:jc w:val="both"/>
        <w:rPr>
          <w:bCs/>
          <w:sz w:val="28"/>
          <w:szCs w:val="28"/>
        </w:rPr>
      </w:pPr>
      <w:r w:rsidRPr="00D73594">
        <w:rPr>
          <w:sz w:val="28"/>
          <w:szCs w:val="28"/>
        </w:rPr>
        <w:t xml:space="preserve">Громадська антикорупційна, громадська </w:t>
      </w:r>
      <w:proofErr w:type="spellStart"/>
      <w:r w:rsidRPr="00D73594">
        <w:rPr>
          <w:sz w:val="28"/>
          <w:szCs w:val="28"/>
        </w:rPr>
        <w:t>антидискримінаційна</w:t>
      </w:r>
      <w:proofErr w:type="spellEnd"/>
      <w:r w:rsidRPr="00D73594">
        <w:rPr>
          <w:sz w:val="28"/>
          <w:szCs w:val="28"/>
        </w:rPr>
        <w:t xml:space="preserve"> та громадська </w:t>
      </w:r>
      <w:proofErr w:type="spellStart"/>
      <w:r w:rsidRPr="00D73594">
        <w:rPr>
          <w:sz w:val="28"/>
          <w:szCs w:val="28"/>
        </w:rPr>
        <w:t>гендерно</w:t>
      </w:r>
      <w:proofErr w:type="spellEnd"/>
      <w:r w:rsidRPr="00D73594">
        <w:rPr>
          <w:sz w:val="28"/>
          <w:szCs w:val="28"/>
        </w:rPr>
        <w:t xml:space="preserve">-правова експертизи проєкту </w:t>
      </w:r>
      <w:r w:rsidR="00C17440">
        <w:rPr>
          <w:sz w:val="28"/>
          <w:szCs w:val="28"/>
        </w:rPr>
        <w:t>акта</w:t>
      </w:r>
      <w:r w:rsidRPr="00D73594">
        <w:rPr>
          <w:sz w:val="28"/>
          <w:szCs w:val="28"/>
        </w:rPr>
        <w:t xml:space="preserve"> не проводилися.</w:t>
      </w:r>
      <w:r w:rsidRPr="00D73594">
        <w:rPr>
          <w:bCs/>
          <w:sz w:val="28"/>
          <w:szCs w:val="28"/>
        </w:rPr>
        <w:t xml:space="preserve"> </w:t>
      </w:r>
    </w:p>
    <w:p w:rsidR="001F2DC5" w:rsidRDefault="001F2DC5" w:rsidP="001F2DC5">
      <w:pPr>
        <w:autoSpaceDE w:val="0"/>
        <w:autoSpaceDN w:val="0"/>
        <w:adjustRightInd w:val="0"/>
        <w:spacing w:after="120" w:line="276" w:lineRule="auto"/>
        <w:ind w:right="4" w:firstLine="567"/>
        <w:rPr>
          <w:b/>
          <w:bCs/>
          <w:sz w:val="28"/>
          <w:szCs w:val="28"/>
        </w:rPr>
      </w:pPr>
    </w:p>
    <w:p w:rsidR="002774A2" w:rsidRPr="00D73594" w:rsidRDefault="002774A2" w:rsidP="001F2DC5">
      <w:pPr>
        <w:autoSpaceDE w:val="0"/>
        <w:autoSpaceDN w:val="0"/>
        <w:adjustRightInd w:val="0"/>
        <w:spacing w:after="120" w:line="276" w:lineRule="auto"/>
        <w:ind w:right="4" w:firstLine="567"/>
        <w:rPr>
          <w:b/>
          <w:bCs/>
          <w:sz w:val="28"/>
          <w:szCs w:val="28"/>
        </w:rPr>
      </w:pPr>
      <w:r w:rsidRPr="00D73594">
        <w:rPr>
          <w:b/>
          <w:bCs/>
          <w:sz w:val="28"/>
          <w:szCs w:val="28"/>
        </w:rPr>
        <w:t>8. Прогноз результатів</w:t>
      </w:r>
    </w:p>
    <w:p w:rsidR="00291353" w:rsidRPr="00D73594" w:rsidRDefault="002774A2" w:rsidP="00924667">
      <w:pPr>
        <w:spacing w:before="120" w:after="120" w:line="276" w:lineRule="auto"/>
        <w:ind w:firstLine="567"/>
        <w:jc w:val="both"/>
        <w:rPr>
          <w:sz w:val="28"/>
          <w:szCs w:val="28"/>
        </w:rPr>
      </w:pPr>
      <w:r w:rsidRPr="00D73594">
        <w:rPr>
          <w:sz w:val="28"/>
          <w:szCs w:val="28"/>
        </w:rPr>
        <w:t xml:space="preserve">Результатом реалізації проєкту акта є встановлення </w:t>
      </w:r>
      <w:r w:rsidR="00291353" w:rsidRPr="00D73594">
        <w:rPr>
          <w:sz w:val="28"/>
          <w:szCs w:val="28"/>
        </w:rPr>
        <w:t xml:space="preserve">форми та  вимоги до змісту </w:t>
      </w:r>
      <w:r w:rsidR="00D35D95" w:rsidRPr="00D73594">
        <w:rPr>
          <w:sz w:val="28"/>
          <w:szCs w:val="28"/>
        </w:rPr>
        <w:t xml:space="preserve">звіту оператора установки про дотримання умов інтегрованого </w:t>
      </w:r>
      <w:proofErr w:type="spellStart"/>
      <w:r w:rsidR="00D35D95" w:rsidRPr="00D73594">
        <w:rPr>
          <w:sz w:val="28"/>
          <w:szCs w:val="28"/>
        </w:rPr>
        <w:t>довкіллєвого</w:t>
      </w:r>
      <w:proofErr w:type="spellEnd"/>
      <w:r w:rsidR="00D35D95" w:rsidRPr="00D73594">
        <w:rPr>
          <w:sz w:val="28"/>
          <w:szCs w:val="28"/>
        </w:rPr>
        <w:t xml:space="preserve"> дозволу</w:t>
      </w:r>
      <w:r w:rsidR="00291353" w:rsidRPr="00D73594">
        <w:rPr>
          <w:sz w:val="28"/>
          <w:szCs w:val="28"/>
        </w:rPr>
        <w:t>.</w:t>
      </w:r>
    </w:p>
    <w:p w:rsidR="002774A2" w:rsidRPr="00D73594" w:rsidRDefault="002774A2" w:rsidP="00924667">
      <w:pPr>
        <w:autoSpaceDE w:val="0"/>
        <w:autoSpaceDN w:val="0"/>
        <w:adjustRightInd w:val="0"/>
        <w:spacing w:before="120" w:after="120" w:line="276" w:lineRule="auto"/>
        <w:ind w:right="4" w:firstLine="567"/>
        <w:jc w:val="both"/>
        <w:rPr>
          <w:b/>
          <w:bCs/>
          <w:sz w:val="28"/>
          <w:szCs w:val="28"/>
        </w:rPr>
      </w:pPr>
      <w:r w:rsidRPr="00D73594">
        <w:rPr>
          <w:sz w:val="28"/>
          <w:szCs w:val="28"/>
        </w:rPr>
        <w:t xml:space="preserve">Реалізація </w:t>
      </w:r>
      <w:r w:rsidR="00C17440">
        <w:rPr>
          <w:sz w:val="28"/>
          <w:szCs w:val="28"/>
        </w:rPr>
        <w:t>проєкту акта</w:t>
      </w:r>
      <w:r w:rsidRPr="00D73594">
        <w:rPr>
          <w:sz w:val="28"/>
          <w:szCs w:val="28"/>
        </w:rPr>
        <w:t xml:space="preserve"> матиме вплив на інтереси заінтересованих сторін:</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015"/>
        <w:gridCol w:w="1974"/>
        <w:gridCol w:w="5661"/>
      </w:tblGrid>
      <w:tr w:rsidR="002774A2" w:rsidRPr="00075033" w:rsidTr="0085575E">
        <w:tc>
          <w:tcPr>
            <w:tcW w:w="1044" w:type="pct"/>
            <w:hideMark/>
          </w:tcPr>
          <w:p w:rsidR="002774A2" w:rsidRPr="00075033" w:rsidRDefault="002774A2" w:rsidP="00571B9D">
            <w:pPr>
              <w:spacing w:before="120" w:after="120"/>
              <w:jc w:val="center"/>
              <w:rPr>
                <w:sz w:val="28"/>
                <w:szCs w:val="28"/>
              </w:rPr>
            </w:pPr>
            <w:r w:rsidRPr="00075033">
              <w:rPr>
                <w:sz w:val="28"/>
                <w:szCs w:val="28"/>
              </w:rPr>
              <w:t>Заінтересована сторона</w:t>
            </w:r>
          </w:p>
        </w:tc>
        <w:tc>
          <w:tcPr>
            <w:tcW w:w="1023" w:type="pct"/>
            <w:hideMark/>
          </w:tcPr>
          <w:p w:rsidR="002774A2" w:rsidRPr="00075033" w:rsidRDefault="002774A2" w:rsidP="00571B9D">
            <w:pPr>
              <w:spacing w:before="120" w:after="120"/>
              <w:jc w:val="center"/>
              <w:rPr>
                <w:sz w:val="28"/>
                <w:szCs w:val="28"/>
              </w:rPr>
            </w:pPr>
            <w:r w:rsidRPr="00075033">
              <w:rPr>
                <w:sz w:val="28"/>
                <w:szCs w:val="28"/>
              </w:rPr>
              <w:t>Вплив реалізації акта на заінтересовану сторону</w:t>
            </w:r>
          </w:p>
        </w:tc>
        <w:tc>
          <w:tcPr>
            <w:tcW w:w="2933" w:type="pct"/>
            <w:hideMark/>
          </w:tcPr>
          <w:p w:rsidR="002774A2" w:rsidRPr="00075033" w:rsidRDefault="002774A2" w:rsidP="00571B9D">
            <w:pPr>
              <w:spacing w:before="120" w:after="120"/>
              <w:jc w:val="center"/>
              <w:rPr>
                <w:sz w:val="28"/>
                <w:szCs w:val="28"/>
              </w:rPr>
            </w:pPr>
          </w:p>
          <w:p w:rsidR="002774A2" w:rsidRPr="00075033" w:rsidRDefault="002774A2" w:rsidP="00571B9D">
            <w:pPr>
              <w:spacing w:before="120" w:after="120"/>
              <w:jc w:val="center"/>
              <w:rPr>
                <w:sz w:val="28"/>
                <w:szCs w:val="28"/>
              </w:rPr>
            </w:pPr>
            <w:r w:rsidRPr="00075033">
              <w:rPr>
                <w:sz w:val="28"/>
                <w:szCs w:val="28"/>
              </w:rPr>
              <w:t>Пояснення очікуваного впливу</w:t>
            </w:r>
          </w:p>
        </w:tc>
      </w:tr>
      <w:tr w:rsidR="002774A2" w:rsidRPr="00075033" w:rsidTr="0085575E">
        <w:trPr>
          <w:trHeight w:val="707"/>
        </w:trPr>
        <w:tc>
          <w:tcPr>
            <w:tcW w:w="1044" w:type="pct"/>
            <w:tcMar>
              <w:top w:w="113" w:type="dxa"/>
              <w:bottom w:w="113" w:type="dxa"/>
            </w:tcMar>
            <w:hideMark/>
          </w:tcPr>
          <w:p w:rsidR="002774A2" w:rsidRPr="00075033" w:rsidRDefault="002774A2" w:rsidP="00571B9D">
            <w:pPr>
              <w:spacing w:before="120" w:after="120"/>
              <w:jc w:val="center"/>
              <w:rPr>
                <w:sz w:val="28"/>
                <w:szCs w:val="28"/>
              </w:rPr>
            </w:pPr>
            <w:r w:rsidRPr="00075033">
              <w:rPr>
                <w:sz w:val="28"/>
                <w:szCs w:val="28"/>
              </w:rPr>
              <w:t>Держава</w:t>
            </w:r>
          </w:p>
        </w:tc>
        <w:tc>
          <w:tcPr>
            <w:tcW w:w="1023" w:type="pct"/>
            <w:tcMar>
              <w:top w:w="113" w:type="dxa"/>
              <w:bottom w:w="113" w:type="dxa"/>
            </w:tcMar>
          </w:tcPr>
          <w:p w:rsidR="002774A2" w:rsidRPr="00075033" w:rsidRDefault="002774A2" w:rsidP="00571B9D">
            <w:pPr>
              <w:spacing w:before="120" w:after="120"/>
              <w:jc w:val="center"/>
              <w:rPr>
                <w:sz w:val="28"/>
                <w:szCs w:val="28"/>
              </w:rPr>
            </w:pPr>
            <w:r w:rsidRPr="00075033">
              <w:rPr>
                <w:sz w:val="28"/>
                <w:szCs w:val="28"/>
              </w:rPr>
              <w:t>Позитивний</w:t>
            </w:r>
          </w:p>
        </w:tc>
        <w:tc>
          <w:tcPr>
            <w:tcW w:w="2933" w:type="pct"/>
            <w:tcMar>
              <w:top w:w="113" w:type="dxa"/>
              <w:left w:w="57" w:type="dxa"/>
              <w:bottom w:w="113" w:type="dxa"/>
              <w:right w:w="57" w:type="dxa"/>
            </w:tcMar>
          </w:tcPr>
          <w:p w:rsidR="002774A2" w:rsidRPr="00075033" w:rsidRDefault="00453264" w:rsidP="00571B9D">
            <w:pPr>
              <w:spacing w:before="120" w:after="120"/>
              <w:jc w:val="both"/>
              <w:rPr>
                <w:sz w:val="28"/>
                <w:szCs w:val="28"/>
                <w:highlight w:val="yellow"/>
              </w:rPr>
            </w:pPr>
            <w:r w:rsidRPr="002774A2">
              <w:rPr>
                <w:sz w:val="28"/>
                <w:szCs w:val="28"/>
              </w:rPr>
              <w:t xml:space="preserve">Цей звіт є важливим інструментом для </w:t>
            </w:r>
            <w:r>
              <w:rPr>
                <w:sz w:val="28"/>
                <w:szCs w:val="28"/>
              </w:rPr>
              <w:t>дотримання вимог Закону</w:t>
            </w:r>
            <w:r w:rsidRPr="002774A2">
              <w:rPr>
                <w:sz w:val="28"/>
                <w:szCs w:val="28"/>
              </w:rPr>
              <w:t>, сприяючи зменшенню негативного впливу промисловості на навколишнє середовище</w:t>
            </w:r>
            <w:r>
              <w:rPr>
                <w:sz w:val="28"/>
                <w:szCs w:val="28"/>
              </w:rPr>
              <w:t xml:space="preserve"> і дозволяє здійснювати належний контроль</w:t>
            </w:r>
            <w:r w:rsidR="00D1175F" w:rsidRPr="00D1175F">
              <w:rPr>
                <w:sz w:val="28"/>
                <w:szCs w:val="28"/>
              </w:rPr>
              <w:t xml:space="preserve"> за  використанням, виробленням або вивільненням небезпечних речовин в процесі діяльності суб’єктів господарювання.</w:t>
            </w:r>
          </w:p>
        </w:tc>
      </w:tr>
      <w:tr w:rsidR="002774A2" w:rsidRPr="00075033" w:rsidTr="0085575E">
        <w:tc>
          <w:tcPr>
            <w:tcW w:w="1044" w:type="pct"/>
            <w:tcMar>
              <w:top w:w="113" w:type="dxa"/>
              <w:bottom w:w="113" w:type="dxa"/>
            </w:tcMar>
          </w:tcPr>
          <w:p w:rsidR="002774A2" w:rsidRPr="00075033" w:rsidRDefault="002774A2" w:rsidP="00571B9D">
            <w:pPr>
              <w:spacing w:before="120" w:after="120"/>
              <w:jc w:val="center"/>
              <w:rPr>
                <w:sz w:val="28"/>
                <w:szCs w:val="28"/>
              </w:rPr>
            </w:pPr>
            <w:r w:rsidRPr="00075033">
              <w:rPr>
                <w:sz w:val="28"/>
                <w:szCs w:val="28"/>
              </w:rPr>
              <w:t>Громадяни</w:t>
            </w:r>
          </w:p>
        </w:tc>
        <w:tc>
          <w:tcPr>
            <w:tcW w:w="1023" w:type="pct"/>
            <w:tcMar>
              <w:top w:w="113" w:type="dxa"/>
              <w:bottom w:w="113" w:type="dxa"/>
            </w:tcMar>
          </w:tcPr>
          <w:p w:rsidR="002774A2" w:rsidRPr="00075033" w:rsidRDefault="002774A2" w:rsidP="00571B9D">
            <w:pPr>
              <w:spacing w:before="120" w:after="120"/>
              <w:jc w:val="center"/>
              <w:rPr>
                <w:sz w:val="28"/>
                <w:szCs w:val="28"/>
              </w:rPr>
            </w:pPr>
            <w:r w:rsidRPr="00075033">
              <w:rPr>
                <w:sz w:val="28"/>
                <w:szCs w:val="28"/>
              </w:rPr>
              <w:t>Позитивний</w:t>
            </w:r>
          </w:p>
        </w:tc>
        <w:tc>
          <w:tcPr>
            <w:tcW w:w="2933" w:type="pct"/>
            <w:tcMar>
              <w:top w:w="113" w:type="dxa"/>
              <w:left w:w="57" w:type="dxa"/>
              <w:bottom w:w="113" w:type="dxa"/>
              <w:right w:w="57" w:type="dxa"/>
            </w:tcMar>
          </w:tcPr>
          <w:p w:rsidR="002774A2" w:rsidRPr="00075033" w:rsidRDefault="002774A2" w:rsidP="00571B9D">
            <w:pPr>
              <w:spacing w:before="120" w:after="120"/>
              <w:jc w:val="both"/>
              <w:rPr>
                <w:sz w:val="28"/>
                <w:szCs w:val="28"/>
                <w:shd w:val="clear" w:color="auto" w:fill="FFFFFF"/>
              </w:rPr>
            </w:pPr>
            <w:r w:rsidRPr="00075033">
              <w:rPr>
                <w:sz w:val="28"/>
                <w:szCs w:val="28"/>
              </w:rPr>
              <w:t>Покращення стану довкілля шляхом прийняття ефективних управлінських рішень</w:t>
            </w:r>
            <w:r w:rsidRPr="00075033">
              <w:rPr>
                <w:sz w:val="28"/>
                <w:szCs w:val="28"/>
                <w:shd w:val="clear" w:color="auto" w:fill="FFFFFF"/>
              </w:rPr>
              <w:t xml:space="preserve"> у галузі охорони навколишнього природного середовища.</w:t>
            </w:r>
          </w:p>
        </w:tc>
      </w:tr>
      <w:tr w:rsidR="002774A2" w:rsidRPr="00075033" w:rsidTr="0085575E">
        <w:trPr>
          <w:trHeight w:val="538"/>
        </w:trPr>
        <w:tc>
          <w:tcPr>
            <w:tcW w:w="1044" w:type="pct"/>
            <w:tcMar>
              <w:top w:w="113" w:type="dxa"/>
              <w:bottom w:w="113" w:type="dxa"/>
            </w:tcMar>
          </w:tcPr>
          <w:p w:rsidR="002774A2" w:rsidRPr="00075033" w:rsidRDefault="002774A2" w:rsidP="00571B9D">
            <w:pPr>
              <w:spacing w:before="120" w:after="120"/>
              <w:jc w:val="center"/>
              <w:rPr>
                <w:sz w:val="28"/>
                <w:szCs w:val="28"/>
              </w:rPr>
            </w:pPr>
            <w:r w:rsidRPr="00075033">
              <w:rPr>
                <w:sz w:val="28"/>
                <w:szCs w:val="28"/>
              </w:rPr>
              <w:lastRenderedPageBreak/>
              <w:t>Суб’єкти господарювання</w:t>
            </w:r>
          </w:p>
        </w:tc>
        <w:tc>
          <w:tcPr>
            <w:tcW w:w="1023" w:type="pct"/>
            <w:tcMar>
              <w:top w:w="113" w:type="dxa"/>
              <w:bottom w:w="113" w:type="dxa"/>
            </w:tcMar>
          </w:tcPr>
          <w:p w:rsidR="002774A2" w:rsidRPr="00075033" w:rsidRDefault="002774A2" w:rsidP="00571B9D">
            <w:pPr>
              <w:spacing w:before="120" w:after="120"/>
              <w:jc w:val="center"/>
              <w:rPr>
                <w:sz w:val="28"/>
                <w:szCs w:val="28"/>
              </w:rPr>
            </w:pPr>
            <w:r w:rsidRPr="00075033">
              <w:rPr>
                <w:sz w:val="28"/>
                <w:szCs w:val="28"/>
              </w:rPr>
              <w:t>Позитивний</w:t>
            </w:r>
          </w:p>
        </w:tc>
        <w:tc>
          <w:tcPr>
            <w:tcW w:w="2933" w:type="pct"/>
            <w:tcMar>
              <w:top w:w="113" w:type="dxa"/>
              <w:left w:w="57" w:type="dxa"/>
              <w:bottom w:w="113" w:type="dxa"/>
              <w:right w:w="57" w:type="dxa"/>
            </w:tcMar>
          </w:tcPr>
          <w:p w:rsidR="002774A2" w:rsidRPr="00A715AD" w:rsidRDefault="00A715AD" w:rsidP="001F2DC5">
            <w:pPr>
              <w:spacing w:before="120" w:after="120"/>
              <w:jc w:val="both"/>
              <w:rPr>
                <w:color w:val="000000"/>
                <w:sz w:val="28"/>
                <w:szCs w:val="28"/>
                <w:lang w:eastAsia="uk-UA"/>
              </w:rPr>
            </w:pPr>
            <w:r>
              <w:rPr>
                <w:color w:val="000000"/>
                <w:sz w:val="28"/>
                <w:szCs w:val="28"/>
                <w:shd w:val="clear" w:color="auto" w:fill="FFFFFF"/>
              </w:rPr>
              <w:t>В</w:t>
            </w:r>
            <w:r w:rsidRPr="00A715AD">
              <w:rPr>
                <w:color w:val="000000"/>
                <w:sz w:val="28"/>
                <w:szCs w:val="28"/>
                <w:shd w:val="clear" w:color="auto" w:fill="FFFFFF"/>
              </w:rPr>
              <w:t>становлення чітких вимог та єдиних форм документів в процесі здійснення державою контролю за використанням, виробленням або вивільненням небезпечних речовин в процесі діяльності суб’єктів господарювання.</w:t>
            </w:r>
          </w:p>
        </w:tc>
      </w:tr>
    </w:tbl>
    <w:p w:rsidR="002774A2" w:rsidRPr="00075033" w:rsidRDefault="002774A2" w:rsidP="0085575E">
      <w:pPr>
        <w:tabs>
          <w:tab w:val="center" w:pos="4395"/>
          <w:tab w:val="right" w:pos="9498"/>
        </w:tabs>
        <w:autoSpaceDE w:val="0"/>
        <w:autoSpaceDN w:val="0"/>
        <w:adjustRightInd w:val="0"/>
        <w:ind w:right="-998" w:hanging="142"/>
        <w:jc w:val="both"/>
        <w:rPr>
          <w:b/>
          <w:bCs/>
          <w:sz w:val="28"/>
          <w:szCs w:val="28"/>
        </w:rPr>
      </w:pPr>
    </w:p>
    <w:p w:rsidR="0085575E" w:rsidRDefault="0085575E" w:rsidP="0085575E">
      <w:pPr>
        <w:tabs>
          <w:tab w:val="center" w:pos="4395"/>
          <w:tab w:val="right" w:pos="9498"/>
        </w:tabs>
        <w:autoSpaceDE w:val="0"/>
        <w:autoSpaceDN w:val="0"/>
        <w:adjustRightInd w:val="0"/>
        <w:ind w:right="-998" w:hanging="142"/>
        <w:jc w:val="both"/>
        <w:rPr>
          <w:b/>
          <w:bCs/>
          <w:sz w:val="28"/>
          <w:szCs w:val="28"/>
        </w:rPr>
      </w:pPr>
    </w:p>
    <w:p w:rsidR="002774A2" w:rsidRPr="00075033" w:rsidRDefault="002774A2" w:rsidP="0085575E">
      <w:pPr>
        <w:tabs>
          <w:tab w:val="center" w:pos="4395"/>
          <w:tab w:val="right" w:pos="9498"/>
        </w:tabs>
        <w:autoSpaceDE w:val="0"/>
        <w:autoSpaceDN w:val="0"/>
        <w:adjustRightInd w:val="0"/>
        <w:ind w:right="-998" w:hanging="142"/>
        <w:jc w:val="both"/>
        <w:rPr>
          <w:b/>
          <w:bCs/>
          <w:sz w:val="28"/>
          <w:szCs w:val="28"/>
        </w:rPr>
      </w:pPr>
      <w:r w:rsidRPr="00075033">
        <w:rPr>
          <w:b/>
          <w:bCs/>
          <w:sz w:val="28"/>
          <w:szCs w:val="28"/>
        </w:rPr>
        <w:t xml:space="preserve">Міністр захисту довкілля та </w:t>
      </w:r>
    </w:p>
    <w:p w:rsidR="002774A2" w:rsidRPr="00924667" w:rsidRDefault="002774A2" w:rsidP="00924667">
      <w:pPr>
        <w:tabs>
          <w:tab w:val="center" w:pos="4395"/>
          <w:tab w:val="right" w:pos="9498"/>
        </w:tabs>
        <w:autoSpaceDE w:val="0"/>
        <w:autoSpaceDN w:val="0"/>
        <w:adjustRightInd w:val="0"/>
        <w:ind w:right="-998" w:hanging="142"/>
        <w:jc w:val="both"/>
        <w:rPr>
          <w:b/>
          <w:bCs/>
          <w:sz w:val="28"/>
          <w:szCs w:val="28"/>
        </w:rPr>
      </w:pPr>
      <w:r w:rsidRPr="00075033">
        <w:rPr>
          <w:b/>
          <w:bCs/>
          <w:sz w:val="28"/>
          <w:szCs w:val="28"/>
        </w:rPr>
        <w:t>природних ресурсів України</w:t>
      </w:r>
      <w:r w:rsidRPr="00075033">
        <w:rPr>
          <w:b/>
          <w:bCs/>
          <w:sz w:val="28"/>
          <w:szCs w:val="28"/>
        </w:rPr>
        <w:tab/>
      </w:r>
      <w:r w:rsidRPr="00075033">
        <w:rPr>
          <w:b/>
          <w:bCs/>
          <w:sz w:val="28"/>
          <w:szCs w:val="28"/>
        </w:rPr>
        <w:tab/>
        <w:t xml:space="preserve">   </w:t>
      </w:r>
      <w:r w:rsidR="00F43284">
        <w:rPr>
          <w:b/>
          <w:bCs/>
          <w:sz w:val="28"/>
          <w:szCs w:val="28"/>
        </w:rPr>
        <w:t>Світлана ГРИНЧУК</w:t>
      </w:r>
    </w:p>
    <w:p w:rsidR="002774A2" w:rsidRPr="00075033" w:rsidRDefault="002774A2" w:rsidP="00571B9D">
      <w:pPr>
        <w:autoSpaceDE w:val="0"/>
        <w:autoSpaceDN w:val="0"/>
        <w:adjustRightInd w:val="0"/>
        <w:spacing w:before="120" w:after="120"/>
        <w:ind w:right="-998" w:hanging="142"/>
        <w:rPr>
          <w:sz w:val="28"/>
          <w:szCs w:val="28"/>
        </w:rPr>
      </w:pPr>
      <w:r w:rsidRPr="00075033">
        <w:rPr>
          <w:sz w:val="28"/>
          <w:szCs w:val="28"/>
        </w:rPr>
        <w:t>____ __________ 2025 р.</w:t>
      </w:r>
    </w:p>
    <w:sectPr w:rsidR="002774A2" w:rsidRPr="00075033" w:rsidSect="00924667">
      <w:headerReference w:type="default" r:id="rId10"/>
      <w:pgSz w:w="11906" w:h="16838"/>
      <w:pgMar w:top="993"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4E" w:rsidRDefault="0012354E" w:rsidP="0051110F">
      <w:r>
        <w:separator/>
      </w:r>
    </w:p>
  </w:endnote>
  <w:endnote w:type="continuationSeparator" w:id="0">
    <w:p w:rsidR="0012354E" w:rsidRDefault="0012354E" w:rsidP="0051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4E" w:rsidRDefault="0012354E" w:rsidP="0051110F">
      <w:r>
        <w:separator/>
      </w:r>
    </w:p>
  </w:footnote>
  <w:footnote w:type="continuationSeparator" w:id="0">
    <w:p w:rsidR="0012354E" w:rsidRDefault="0012354E" w:rsidP="0051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0F" w:rsidRDefault="0051110F" w:rsidP="001B0241">
    <w:pPr>
      <w:pStyle w:val="a3"/>
      <w:jc w:val="center"/>
    </w:pPr>
    <w:r>
      <w:fldChar w:fldCharType="begin"/>
    </w:r>
    <w:r>
      <w:instrText>PAGE   \* MERGEFORMAT</w:instrText>
    </w:r>
    <w:r>
      <w:fldChar w:fldCharType="separate"/>
    </w:r>
    <w:r w:rsidR="00834806">
      <w:rPr>
        <w:noProof/>
      </w:rPr>
      <w:t>4</w:t>
    </w:r>
    <w:r>
      <w:fldChar w:fldCharType="end"/>
    </w:r>
  </w:p>
  <w:p w:rsidR="001A0F3A" w:rsidRDefault="001A0F3A" w:rsidP="001B024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56"/>
    <w:rsid w:val="00007844"/>
    <w:rsid w:val="0001513A"/>
    <w:rsid w:val="0001637D"/>
    <w:rsid w:val="00016803"/>
    <w:rsid w:val="00020564"/>
    <w:rsid w:val="00032263"/>
    <w:rsid w:val="00036924"/>
    <w:rsid w:val="00041AA6"/>
    <w:rsid w:val="00050CA8"/>
    <w:rsid w:val="00054345"/>
    <w:rsid w:val="0005799C"/>
    <w:rsid w:val="00061B2D"/>
    <w:rsid w:val="00063FAF"/>
    <w:rsid w:val="000648C5"/>
    <w:rsid w:val="000667DC"/>
    <w:rsid w:val="00075033"/>
    <w:rsid w:val="00076041"/>
    <w:rsid w:val="00080094"/>
    <w:rsid w:val="00087EE2"/>
    <w:rsid w:val="0009001E"/>
    <w:rsid w:val="0009547E"/>
    <w:rsid w:val="00097428"/>
    <w:rsid w:val="00097C0A"/>
    <w:rsid w:val="000A2926"/>
    <w:rsid w:val="000B554C"/>
    <w:rsid w:val="000C63A9"/>
    <w:rsid w:val="000D300A"/>
    <w:rsid w:val="000D6A00"/>
    <w:rsid w:val="000E1EC9"/>
    <w:rsid w:val="000E3207"/>
    <w:rsid w:val="000F5D65"/>
    <w:rsid w:val="000F6B6A"/>
    <w:rsid w:val="00100009"/>
    <w:rsid w:val="001008E8"/>
    <w:rsid w:val="001013F3"/>
    <w:rsid w:val="00104685"/>
    <w:rsid w:val="00107353"/>
    <w:rsid w:val="00111279"/>
    <w:rsid w:val="0011303B"/>
    <w:rsid w:val="00117E77"/>
    <w:rsid w:val="0012354E"/>
    <w:rsid w:val="001309CF"/>
    <w:rsid w:val="00142A2C"/>
    <w:rsid w:val="00146928"/>
    <w:rsid w:val="00155331"/>
    <w:rsid w:val="00157859"/>
    <w:rsid w:val="00160D45"/>
    <w:rsid w:val="001626F7"/>
    <w:rsid w:val="00166C74"/>
    <w:rsid w:val="00176FDC"/>
    <w:rsid w:val="0017729C"/>
    <w:rsid w:val="00184230"/>
    <w:rsid w:val="00184A22"/>
    <w:rsid w:val="00184AE6"/>
    <w:rsid w:val="001919E9"/>
    <w:rsid w:val="001955B5"/>
    <w:rsid w:val="00195D0F"/>
    <w:rsid w:val="0019777C"/>
    <w:rsid w:val="001A0F3A"/>
    <w:rsid w:val="001B0241"/>
    <w:rsid w:val="001B1D9F"/>
    <w:rsid w:val="001C246F"/>
    <w:rsid w:val="001C4BCF"/>
    <w:rsid w:val="001E34CF"/>
    <w:rsid w:val="001F2DC5"/>
    <w:rsid w:val="001F3063"/>
    <w:rsid w:val="00201B63"/>
    <w:rsid w:val="00211CBE"/>
    <w:rsid w:val="0021607A"/>
    <w:rsid w:val="0021627B"/>
    <w:rsid w:val="00216F1C"/>
    <w:rsid w:val="00217276"/>
    <w:rsid w:val="002225B1"/>
    <w:rsid w:val="002265FD"/>
    <w:rsid w:val="00233BB2"/>
    <w:rsid w:val="0023461D"/>
    <w:rsid w:val="00234EA3"/>
    <w:rsid w:val="0024259B"/>
    <w:rsid w:val="00246EEF"/>
    <w:rsid w:val="00255770"/>
    <w:rsid w:val="00256CD9"/>
    <w:rsid w:val="00261538"/>
    <w:rsid w:val="00265084"/>
    <w:rsid w:val="0026600F"/>
    <w:rsid w:val="00273F02"/>
    <w:rsid w:val="002748FF"/>
    <w:rsid w:val="00275841"/>
    <w:rsid w:val="0027738E"/>
    <w:rsid w:val="002774A2"/>
    <w:rsid w:val="00281CB4"/>
    <w:rsid w:val="002823D5"/>
    <w:rsid w:val="00285D6A"/>
    <w:rsid w:val="00286468"/>
    <w:rsid w:val="00291353"/>
    <w:rsid w:val="00294E9F"/>
    <w:rsid w:val="00296496"/>
    <w:rsid w:val="002A1A05"/>
    <w:rsid w:val="002A34DF"/>
    <w:rsid w:val="002A5BDC"/>
    <w:rsid w:val="002A7ED4"/>
    <w:rsid w:val="002B5AB7"/>
    <w:rsid w:val="002C6610"/>
    <w:rsid w:val="002D0A6E"/>
    <w:rsid w:val="002E19C3"/>
    <w:rsid w:val="002E27ED"/>
    <w:rsid w:val="002E53F3"/>
    <w:rsid w:val="002E7AEF"/>
    <w:rsid w:val="00304AB3"/>
    <w:rsid w:val="003106AA"/>
    <w:rsid w:val="00314387"/>
    <w:rsid w:val="00314B9A"/>
    <w:rsid w:val="00315BF8"/>
    <w:rsid w:val="00321D00"/>
    <w:rsid w:val="00322EF0"/>
    <w:rsid w:val="0032301F"/>
    <w:rsid w:val="00331FFA"/>
    <w:rsid w:val="00337F87"/>
    <w:rsid w:val="00342148"/>
    <w:rsid w:val="00342E7C"/>
    <w:rsid w:val="00362444"/>
    <w:rsid w:val="00363657"/>
    <w:rsid w:val="00366018"/>
    <w:rsid w:val="00366235"/>
    <w:rsid w:val="0037129F"/>
    <w:rsid w:val="003743F2"/>
    <w:rsid w:val="00382D85"/>
    <w:rsid w:val="00383B94"/>
    <w:rsid w:val="00395C56"/>
    <w:rsid w:val="003A0A4F"/>
    <w:rsid w:val="003A0E03"/>
    <w:rsid w:val="003A3E7A"/>
    <w:rsid w:val="003B0C17"/>
    <w:rsid w:val="003B5821"/>
    <w:rsid w:val="003B630F"/>
    <w:rsid w:val="003B6560"/>
    <w:rsid w:val="003C10EA"/>
    <w:rsid w:val="003C4807"/>
    <w:rsid w:val="003C7E8C"/>
    <w:rsid w:val="003E5C1C"/>
    <w:rsid w:val="003F276D"/>
    <w:rsid w:val="003F2E6C"/>
    <w:rsid w:val="003F41F3"/>
    <w:rsid w:val="003F6A58"/>
    <w:rsid w:val="004046A2"/>
    <w:rsid w:val="00412AB2"/>
    <w:rsid w:val="00417246"/>
    <w:rsid w:val="004223F7"/>
    <w:rsid w:val="00437A09"/>
    <w:rsid w:val="00445BAA"/>
    <w:rsid w:val="0045228B"/>
    <w:rsid w:val="00453264"/>
    <w:rsid w:val="00453375"/>
    <w:rsid w:val="00454D0D"/>
    <w:rsid w:val="00456BD7"/>
    <w:rsid w:val="004570E4"/>
    <w:rsid w:val="00466F52"/>
    <w:rsid w:val="00477141"/>
    <w:rsid w:val="00483A43"/>
    <w:rsid w:val="004840D7"/>
    <w:rsid w:val="004921DA"/>
    <w:rsid w:val="00496FA5"/>
    <w:rsid w:val="004A6045"/>
    <w:rsid w:val="004B1C4B"/>
    <w:rsid w:val="004B2EB6"/>
    <w:rsid w:val="004B7DAC"/>
    <w:rsid w:val="004C136E"/>
    <w:rsid w:val="004D751C"/>
    <w:rsid w:val="004E4B6D"/>
    <w:rsid w:val="004F00CC"/>
    <w:rsid w:val="004F2AD4"/>
    <w:rsid w:val="00503A05"/>
    <w:rsid w:val="00504F45"/>
    <w:rsid w:val="0051110F"/>
    <w:rsid w:val="00517D69"/>
    <w:rsid w:val="00520992"/>
    <w:rsid w:val="00523F82"/>
    <w:rsid w:val="00524144"/>
    <w:rsid w:val="005256C5"/>
    <w:rsid w:val="0053046D"/>
    <w:rsid w:val="00530604"/>
    <w:rsid w:val="00532476"/>
    <w:rsid w:val="00535370"/>
    <w:rsid w:val="0054152B"/>
    <w:rsid w:val="00544AFD"/>
    <w:rsid w:val="00563D26"/>
    <w:rsid w:val="0056670B"/>
    <w:rsid w:val="00566B3A"/>
    <w:rsid w:val="00571B9D"/>
    <w:rsid w:val="0057334D"/>
    <w:rsid w:val="00577BD3"/>
    <w:rsid w:val="005854E8"/>
    <w:rsid w:val="005976D0"/>
    <w:rsid w:val="005A25C2"/>
    <w:rsid w:val="005C02AD"/>
    <w:rsid w:val="005C1F42"/>
    <w:rsid w:val="005C32F9"/>
    <w:rsid w:val="005D0416"/>
    <w:rsid w:val="005E5360"/>
    <w:rsid w:val="005E5479"/>
    <w:rsid w:val="005F2BC6"/>
    <w:rsid w:val="005F3147"/>
    <w:rsid w:val="0060336D"/>
    <w:rsid w:val="0060426F"/>
    <w:rsid w:val="00605DD4"/>
    <w:rsid w:val="00614830"/>
    <w:rsid w:val="00625719"/>
    <w:rsid w:val="006364FE"/>
    <w:rsid w:val="00640AB2"/>
    <w:rsid w:val="0064115B"/>
    <w:rsid w:val="006422BB"/>
    <w:rsid w:val="00643D52"/>
    <w:rsid w:val="00644D91"/>
    <w:rsid w:val="006553D9"/>
    <w:rsid w:val="0066544C"/>
    <w:rsid w:val="0067362D"/>
    <w:rsid w:val="006738A8"/>
    <w:rsid w:val="0067794A"/>
    <w:rsid w:val="006816BD"/>
    <w:rsid w:val="006869CD"/>
    <w:rsid w:val="00690B87"/>
    <w:rsid w:val="00695D6C"/>
    <w:rsid w:val="006962F1"/>
    <w:rsid w:val="006A0D71"/>
    <w:rsid w:val="006A5298"/>
    <w:rsid w:val="006A6A9F"/>
    <w:rsid w:val="006D0B1C"/>
    <w:rsid w:val="006D57D5"/>
    <w:rsid w:val="006E1AFB"/>
    <w:rsid w:val="006E2625"/>
    <w:rsid w:val="006E70F7"/>
    <w:rsid w:val="006F01FA"/>
    <w:rsid w:val="006F2ACB"/>
    <w:rsid w:val="006F71B5"/>
    <w:rsid w:val="00703153"/>
    <w:rsid w:val="00705747"/>
    <w:rsid w:val="00711EBC"/>
    <w:rsid w:val="0071477E"/>
    <w:rsid w:val="00721F47"/>
    <w:rsid w:val="00724E35"/>
    <w:rsid w:val="007277F4"/>
    <w:rsid w:val="00731B1D"/>
    <w:rsid w:val="007404DE"/>
    <w:rsid w:val="00747187"/>
    <w:rsid w:val="007560F9"/>
    <w:rsid w:val="0077569A"/>
    <w:rsid w:val="00781C25"/>
    <w:rsid w:val="00784804"/>
    <w:rsid w:val="00785E47"/>
    <w:rsid w:val="0079115C"/>
    <w:rsid w:val="00792643"/>
    <w:rsid w:val="00793CBC"/>
    <w:rsid w:val="007A19A0"/>
    <w:rsid w:val="007A276F"/>
    <w:rsid w:val="007A591F"/>
    <w:rsid w:val="007A7CBF"/>
    <w:rsid w:val="007B1935"/>
    <w:rsid w:val="007B47E4"/>
    <w:rsid w:val="007B59F8"/>
    <w:rsid w:val="007C46FC"/>
    <w:rsid w:val="007D27A8"/>
    <w:rsid w:val="007D428D"/>
    <w:rsid w:val="007E3F06"/>
    <w:rsid w:val="007E5FAE"/>
    <w:rsid w:val="007F5A70"/>
    <w:rsid w:val="00824376"/>
    <w:rsid w:val="00824719"/>
    <w:rsid w:val="00825C9F"/>
    <w:rsid w:val="00827C7C"/>
    <w:rsid w:val="00834806"/>
    <w:rsid w:val="008437AD"/>
    <w:rsid w:val="00843956"/>
    <w:rsid w:val="0085575E"/>
    <w:rsid w:val="0085626A"/>
    <w:rsid w:val="00861426"/>
    <w:rsid w:val="00866381"/>
    <w:rsid w:val="008736E5"/>
    <w:rsid w:val="008773F7"/>
    <w:rsid w:val="00883A2F"/>
    <w:rsid w:val="00891061"/>
    <w:rsid w:val="00892034"/>
    <w:rsid w:val="0089267C"/>
    <w:rsid w:val="00893F59"/>
    <w:rsid w:val="008A1C34"/>
    <w:rsid w:val="008A319C"/>
    <w:rsid w:val="008A7A64"/>
    <w:rsid w:val="008B146B"/>
    <w:rsid w:val="008B29AA"/>
    <w:rsid w:val="008C0B39"/>
    <w:rsid w:val="008C2421"/>
    <w:rsid w:val="008C2E4C"/>
    <w:rsid w:val="008C3D22"/>
    <w:rsid w:val="008D442C"/>
    <w:rsid w:val="008D4495"/>
    <w:rsid w:val="008F74C0"/>
    <w:rsid w:val="00904A92"/>
    <w:rsid w:val="00907A9A"/>
    <w:rsid w:val="00911BDE"/>
    <w:rsid w:val="00920829"/>
    <w:rsid w:val="00920E60"/>
    <w:rsid w:val="00924667"/>
    <w:rsid w:val="00926086"/>
    <w:rsid w:val="009276E9"/>
    <w:rsid w:val="0093104C"/>
    <w:rsid w:val="009447FC"/>
    <w:rsid w:val="00944FB4"/>
    <w:rsid w:val="00945F57"/>
    <w:rsid w:val="009519ED"/>
    <w:rsid w:val="0095656F"/>
    <w:rsid w:val="009573DA"/>
    <w:rsid w:val="00957628"/>
    <w:rsid w:val="00960BD6"/>
    <w:rsid w:val="00965CAC"/>
    <w:rsid w:val="00973C5A"/>
    <w:rsid w:val="00980354"/>
    <w:rsid w:val="0098177C"/>
    <w:rsid w:val="009A0B24"/>
    <w:rsid w:val="009A1200"/>
    <w:rsid w:val="009A19EF"/>
    <w:rsid w:val="009A40B3"/>
    <w:rsid w:val="009A51DA"/>
    <w:rsid w:val="009A5938"/>
    <w:rsid w:val="009A6DA7"/>
    <w:rsid w:val="009B3B8A"/>
    <w:rsid w:val="009C1171"/>
    <w:rsid w:val="009D3C68"/>
    <w:rsid w:val="009D441B"/>
    <w:rsid w:val="009D6704"/>
    <w:rsid w:val="009D6B2A"/>
    <w:rsid w:val="00A06B2E"/>
    <w:rsid w:val="00A15A7C"/>
    <w:rsid w:val="00A16F09"/>
    <w:rsid w:val="00A175AA"/>
    <w:rsid w:val="00A23131"/>
    <w:rsid w:val="00A246CA"/>
    <w:rsid w:val="00A26077"/>
    <w:rsid w:val="00A30039"/>
    <w:rsid w:val="00A5484C"/>
    <w:rsid w:val="00A57410"/>
    <w:rsid w:val="00A57C2E"/>
    <w:rsid w:val="00A65ACC"/>
    <w:rsid w:val="00A715AD"/>
    <w:rsid w:val="00A74E0D"/>
    <w:rsid w:val="00A75A5C"/>
    <w:rsid w:val="00A844F3"/>
    <w:rsid w:val="00A864F2"/>
    <w:rsid w:val="00A91663"/>
    <w:rsid w:val="00A9224C"/>
    <w:rsid w:val="00AA7841"/>
    <w:rsid w:val="00AB07CD"/>
    <w:rsid w:val="00AC3871"/>
    <w:rsid w:val="00AC6766"/>
    <w:rsid w:val="00AC7371"/>
    <w:rsid w:val="00AD0C29"/>
    <w:rsid w:val="00AD4CF6"/>
    <w:rsid w:val="00AD675E"/>
    <w:rsid w:val="00AD6CF4"/>
    <w:rsid w:val="00AE17A3"/>
    <w:rsid w:val="00AE566C"/>
    <w:rsid w:val="00AF2758"/>
    <w:rsid w:val="00AF589C"/>
    <w:rsid w:val="00AF6077"/>
    <w:rsid w:val="00AF6F5A"/>
    <w:rsid w:val="00B04B5D"/>
    <w:rsid w:val="00B20B96"/>
    <w:rsid w:val="00B210F7"/>
    <w:rsid w:val="00B26A9F"/>
    <w:rsid w:val="00B27882"/>
    <w:rsid w:val="00B27FD9"/>
    <w:rsid w:val="00B31640"/>
    <w:rsid w:val="00B31DD0"/>
    <w:rsid w:val="00B411CE"/>
    <w:rsid w:val="00B435DC"/>
    <w:rsid w:val="00B509FC"/>
    <w:rsid w:val="00B625B2"/>
    <w:rsid w:val="00B660D7"/>
    <w:rsid w:val="00B810D8"/>
    <w:rsid w:val="00B810E0"/>
    <w:rsid w:val="00B91D6E"/>
    <w:rsid w:val="00BA23F7"/>
    <w:rsid w:val="00BC0921"/>
    <w:rsid w:val="00BC2565"/>
    <w:rsid w:val="00BD16FC"/>
    <w:rsid w:val="00BD3912"/>
    <w:rsid w:val="00BE21F4"/>
    <w:rsid w:val="00BE7826"/>
    <w:rsid w:val="00C17440"/>
    <w:rsid w:val="00C22BF2"/>
    <w:rsid w:val="00C42381"/>
    <w:rsid w:val="00C46656"/>
    <w:rsid w:val="00C47058"/>
    <w:rsid w:val="00C5122A"/>
    <w:rsid w:val="00C62918"/>
    <w:rsid w:val="00C71AC2"/>
    <w:rsid w:val="00C77047"/>
    <w:rsid w:val="00C8518D"/>
    <w:rsid w:val="00C864BD"/>
    <w:rsid w:val="00C90BFA"/>
    <w:rsid w:val="00C90F88"/>
    <w:rsid w:val="00CB1F18"/>
    <w:rsid w:val="00CB4E42"/>
    <w:rsid w:val="00CB5B99"/>
    <w:rsid w:val="00CB69C5"/>
    <w:rsid w:val="00CC0C3D"/>
    <w:rsid w:val="00CE5210"/>
    <w:rsid w:val="00CE6429"/>
    <w:rsid w:val="00CE6968"/>
    <w:rsid w:val="00CF586F"/>
    <w:rsid w:val="00CF5CE4"/>
    <w:rsid w:val="00CF69BA"/>
    <w:rsid w:val="00CF7B98"/>
    <w:rsid w:val="00D0421B"/>
    <w:rsid w:val="00D103C4"/>
    <w:rsid w:val="00D1175F"/>
    <w:rsid w:val="00D15BAB"/>
    <w:rsid w:val="00D169E1"/>
    <w:rsid w:val="00D21B0F"/>
    <w:rsid w:val="00D32E45"/>
    <w:rsid w:val="00D331F3"/>
    <w:rsid w:val="00D34D11"/>
    <w:rsid w:val="00D34F55"/>
    <w:rsid w:val="00D35647"/>
    <w:rsid w:val="00D35D95"/>
    <w:rsid w:val="00D45C2D"/>
    <w:rsid w:val="00D5084E"/>
    <w:rsid w:val="00D53732"/>
    <w:rsid w:val="00D54B42"/>
    <w:rsid w:val="00D55225"/>
    <w:rsid w:val="00D56053"/>
    <w:rsid w:val="00D60D8B"/>
    <w:rsid w:val="00D63C55"/>
    <w:rsid w:val="00D66645"/>
    <w:rsid w:val="00D73495"/>
    <w:rsid w:val="00D73594"/>
    <w:rsid w:val="00D7456C"/>
    <w:rsid w:val="00D74C32"/>
    <w:rsid w:val="00D74E59"/>
    <w:rsid w:val="00D83977"/>
    <w:rsid w:val="00D85DED"/>
    <w:rsid w:val="00DA7183"/>
    <w:rsid w:val="00DA7E74"/>
    <w:rsid w:val="00DB0CDA"/>
    <w:rsid w:val="00DB4D2C"/>
    <w:rsid w:val="00DB62D4"/>
    <w:rsid w:val="00DC307A"/>
    <w:rsid w:val="00DD2A60"/>
    <w:rsid w:val="00DD332D"/>
    <w:rsid w:val="00DD72BD"/>
    <w:rsid w:val="00DE3C65"/>
    <w:rsid w:val="00DF1E12"/>
    <w:rsid w:val="00DF5414"/>
    <w:rsid w:val="00E0097E"/>
    <w:rsid w:val="00E01169"/>
    <w:rsid w:val="00E030A0"/>
    <w:rsid w:val="00E07766"/>
    <w:rsid w:val="00E13420"/>
    <w:rsid w:val="00E17772"/>
    <w:rsid w:val="00E24C7F"/>
    <w:rsid w:val="00E35592"/>
    <w:rsid w:val="00E50159"/>
    <w:rsid w:val="00E52AF8"/>
    <w:rsid w:val="00E52DB7"/>
    <w:rsid w:val="00E61CB0"/>
    <w:rsid w:val="00E66486"/>
    <w:rsid w:val="00E6717B"/>
    <w:rsid w:val="00E705CA"/>
    <w:rsid w:val="00E91D70"/>
    <w:rsid w:val="00EA3864"/>
    <w:rsid w:val="00EA5230"/>
    <w:rsid w:val="00EC580D"/>
    <w:rsid w:val="00EC7143"/>
    <w:rsid w:val="00ED0000"/>
    <w:rsid w:val="00ED25CF"/>
    <w:rsid w:val="00ED426C"/>
    <w:rsid w:val="00EE3FDA"/>
    <w:rsid w:val="00EE5E71"/>
    <w:rsid w:val="00EF005E"/>
    <w:rsid w:val="00EF46E5"/>
    <w:rsid w:val="00EF7260"/>
    <w:rsid w:val="00F03C60"/>
    <w:rsid w:val="00F0566C"/>
    <w:rsid w:val="00F06861"/>
    <w:rsid w:val="00F12761"/>
    <w:rsid w:val="00F14895"/>
    <w:rsid w:val="00F1662F"/>
    <w:rsid w:val="00F227A5"/>
    <w:rsid w:val="00F37DE5"/>
    <w:rsid w:val="00F41D67"/>
    <w:rsid w:val="00F42621"/>
    <w:rsid w:val="00F43284"/>
    <w:rsid w:val="00F448AC"/>
    <w:rsid w:val="00F45838"/>
    <w:rsid w:val="00F53139"/>
    <w:rsid w:val="00F64618"/>
    <w:rsid w:val="00F663E7"/>
    <w:rsid w:val="00F71CB4"/>
    <w:rsid w:val="00F73DED"/>
    <w:rsid w:val="00F7548F"/>
    <w:rsid w:val="00F75AAA"/>
    <w:rsid w:val="00F8016C"/>
    <w:rsid w:val="00F85BD7"/>
    <w:rsid w:val="00F86066"/>
    <w:rsid w:val="00F86C9D"/>
    <w:rsid w:val="00F86EED"/>
    <w:rsid w:val="00FA1020"/>
    <w:rsid w:val="00FA6440"/>
    <w:rsid w:val="00FB24DD"/>
    <w:rsid w:val="00FC1E99"/>
    <w:rsid w:val="00FC5D1D"/>
    <w:rsid w:val="00FD48BF"/>
    <w:rsid w:val="00FD6E9E"/>
    <w:rsid w:val="00FE243C"/>
    <w:rsid w:val="00FE3873"/>
    <w:rsid w:val="00FF1CD4"/>
    <w:rsid w:val="00FF69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EEF"/>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
    <w:basedOn w:val="a"/>
    <w:link w:val="HTML0"/>
    <w:uiPriority w:val="99"/>
    <w:unhideWhenUsed/>
    <w:rsid w:val="0024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aliases w:val="Знак Знак"/>
    <w:basedOn w:val="a0"/>
    <w:link w:val="HTML"/>
    <w:uiPriority w:val="99"/>
    <w:locked/>
    <w:rsid w:val="00246EEF"/>
    <w:rPr>
      <w:rFonts w:ascii="Courier New" w:hAnsi="Courier New" w:cs="Times New Roman"/>
      <w:sz w:val="20"/>
      <w:szCs w:val="20"/>
      <w:lang w:val="ru-RU" w:eastAsia="ru-RU"/>
    </w:rPr>
  </w:style>
  <w:style w:type="character" w:customStyle="1" w:styleId="StyleZakonu">
    <w:name w:val="StyleZakonu Знак"/>
    <w:link w:val="StyleZakonu0"/>
    <w:uiPriority w:val="99"/>
    <w:locked/>
    <w:rsid w:val="002E7AEF"/>
    <w:rPr>
      <w:rFonts w:ascii="Times New Roman" w:hAnsi="Times New Roman"/>
      <w:sz w:val="20"/>
      <w:lang w:val="x-none" w:eastAsia="ru-RU"/>
    </w:rPr>
  </w:style>
  <w:style w:type="paragraph" w:customStyle="1" w:styleId="StyleZakonu0">
    <w:name w:val="StyleZakonu"/>
    <w:basedOn w:val="a"/>
    <w:link w:val="StyleZakonu"/>
    <w:uiPriority w:val="99"/>
    <w:rsid w:val="002E7AEF"/>
    <w:pPr>
      <w:spacing w:after="60" w:line="220" w:lineRule="exact"/>
      <w:ind w:firstLine="284"/>
      <w:jc w:val="both"/>
    </w:pPr>
    <w:rPr>
      <w:sz w:val="20"/>
      <w:szCs w:val="20"/>
    </w:rPr>
  </w:style>
  <w:style w:type="paragraph" w:styleId="a3">
    <w:name w:val="header"/>
    <w:basedOn w:val="a"/>
    <w:link w:val="a4"/>
    <w:uiPriority w:val="99"/>
    <w:unhideWhenUsed/>
    <w:rsid w:val="0051110F"/>
    <w:pPr>
      <w:tabs>
        <w:tab w:val="center" w:pos="4819"/>
        <w:tab w:val="right" w:pos="9639"/>
      </w:tabs>
    </w:pPr>
  </w:style>
  <w:style w:type="character" w:customStyle="1" w:styleId="a4">
    <w:name w:val="Верхний колонтитул Знак"/>
    <w:basedOn w:val="a0"/>
    <w:link w:val="a3"/>
    <w:uiPriority w:val="99"/>
    <w:locked/>
    <w:rsid w:val="0051110F"/>
    <w:rPr>
      <w:rFonts w:ascii="Times New Roman" w:hAnsi="Times New Roman" w:cs="Times New Roman"/>
      <w:sz w:val="24"/>
      <w:szCs w:val="24"/>
      <w:lang w:val="x-none" w:eastAsia="ru-RU"/>
    </w:rPr>
  </w:style>
  <w:style w:type="paragraph" w:styleId="a5">
    <w:name w:val="footer"/>
    <w:basedOn w:val="a"/>
    <w:link w:val="a6"/>
    <w:uiPriority w:val="99"/>
    <w:unhideWhenUsed/>
    <w:rsid w:val="0051110F"/>
    <w:pPr>
      <w:tabs>
        <w:tab w:val="center" w:pos="4819"/>
        <w:tab w:val="right" w:pos="9639"/>
      </w:tabs>
    </w:pPr>
  </w:style>
  <w:style w:type="character" w:customStyle="1" w:styleId="a6">
    <w:name w:val="Нижний колонтитул Знак"/>
    <w:basedOn w:val="a0"/>
    <w:link w:val="a5"/>
    <w:uiPriority w:val="99"/>
    <w:locked/>
    <w:rsid w:val="0051110F"/>
    <w:rPr>
      <w:rFonts w:ascii="Times New Roman" w:hAnsi="Times New Roman" w:cs="Times New Roman"/>
      <w:sz w:val="24"/>
      <w:szCs w:val="24"/>
      <w:lang w:val="x-none" w:eastAsia="ru-RU"/>
    </w:rPr>
  </w:style>
  <w:style w:type="paragraph" w:styleId="a7">
    <w:name w:val="No Spacing"/>
    <w:uiPriority w:val="1"/>
    <w:qFormat/>
    <w:rsid w:val="00861426"/>
    <w:pPr>
      <w:suppressAutoHyphens/>
      <w:spacing w:after="0" w:line="240" w:lineRule="auto"/>
    </w:pPr>
    <w:rPr>
      <w:rFonts w:ascii="Times New Roman" w:hAnsi="Times New Roman" w:cs="Times New Roman"/>
      <w:szCs w:val="20"/>
      <w:lang w:eastAsia="uk-UA"/>
    </w:rPr>
  </w:style>
  <w:style w:type="paragraph" w:customStyle="1" w:styleId="rvps2">
    <w:name w:val="rvps2"/>
    <w:basedOn w:val="a"/>
    <w:uiPriority w:val="99"/>
    <w:rsid w:val="00965CAC"/>
    <w:pPr>
      <w:spacing w:before="100" w:beforeAutospacing="1" w:after="100" w:afterAutospacing="1"/>
    </w:pPr>
    <w:rPr>
      <w:lang w:eastAsia="uk-UA"/>
    </w:rPr>
  </w:style>
  <w:style w:type="character" w:styleId="a8">
    <w:name w:val="Hyperlink"/>
    <w:basedOn w:val="a0"/>
    <w:uiPriority w:val="99"/>
    <w:semiHidden/>
    <w:unhideWhenUsed/>
    <w:rsid w:val="00F45838"/>
    <w:rPr>
      <w:rFonts w:cs="Times New Roman"/>
      <w:color w:val="0000FF"/>
      <w:u w:val="single"/>
    </w:rPr>
  </w:style>
  <w:style w:type="paragraph" w:customStyle="1" w:styleId="Style3">
    <w:name w:val="Style3"/>
    <w:basedOn w:val="a"/>
    <w:rsid w:val="00D103C4"/>
    <w:pPr>
      <w:widowControl w:val="0"/>
      <w:autoSpaceDE w:val="0"/>
      <w:autoSpaceDN w:val="0"/>
      <w:adjustRightInd w:val="0"/>
    </w:pPr>
    <w:rPr>
      <w:lang w:eastAsia="uk-UA"/>
    </w:rPr>
  </w:style>
  <w:style w:type="paragraph" w:styleId="a9">
    <w:name w:val="Body Text Indent"/>
    <w:basedOn w:val="a"/>
    <w:link w:val="aa"/>
    <w:uiPriority w:val="99"/>
    <w:rsid w:val="00D103C4"/>
    <w:pPr>
      <w:spacing w:after="120"/>
      <w:ind w:left="283"/>
    </w:pPr>
  </w:style>
  <w:style w:type="character" w:customStyle="1" w:styleId="aa">
    <w:name w:val="Основной текст с отступом Знак"/>
    <w:basedOn w:val="a0"/>
    <w:link w:val="a9"/>
    <w:uiPriority w:val="99"/>
    <w:locked/>
    <w:rsid w:val="00D103C4"/>
    <w:rPr>
      <w:rFonts w:ascii="Times New Roman" w:hAnsi="Times New Roman" w:cs="Times New Roman"/>
      <w:sz w:val="24"/>
      <w:szCs w:val="24"/>
      <w:lang w:val="x-none" w:eastAsia="ru-RU"/>
    </w:rPr>
  </w:style>
  <w:style w:type="paragraph" w:customStyle="1" w:styleId="ab">
    <w:name w:val="Вид документа"/>
    <w:basedOn w:val="a"/>
    <w:next w:val="a"/>
    <w:rsid w:val="000648C5"/>
    <w:pPr>
      <w:keepNext/>
      <w:keepLines/>
      <w:spacing w:after="240"/>
      <w:jc w:val="right"/>
    </w:pPr>
    <w:rPr>
      <w:rFonts w:ascii="Antiqua" w:hAnsi="Antiqua"/>
      <w:spacing w:val="20"/>
      <w:sz w:val="26"/>
      <w:szCs w:val="20"/>
    </w:rPr>
  </w:style>
  <w:style w:type="paragraph" w:styleId="ac">
    <w:name w:val="Normal (Web)"/>
    <w:basedOn w:val="a"/>
    <w:uiPriority w:val="99"/>
    <w:rsid w:val="001B0241"/>
    <w:pPr>
      <w:spacing w:before="100" w:beforeAutospacing="1" w:after="100" w:afterAutospacing="1"/>
    </w:pPr>
    <w:rPr>
      <w:lang w:val="ru-RU"/>
    </w:rPr>
  </w:style>
  <w:style w:type="paragraph" w:customStyle="1" w:styleId="ad">
    <w:name w:val="Нормальний текст"/>
    <w:basedOn w:val="a"/>
    <w:rsid w:val="008C2421"/>
    <w:pPr>
      <w:spacing w:before="120"/>
      <w:ind w:firstLine="567"/>
      <w:jc w:val="both"/>
    </w:pPr>
    <w:rPr>
      <w:rFonts w:ascii="Antiqua" w:hAnsi="Antiqua"/>
      <w:sz w:val="26"/>
      <w:szCs w:val="20"/>
    </w:rPr>
  </w:style>
  <w:style w:type="paragraph" w:customStyle="1" w:styleId="ListParagraphBulletPointsListeParagrafNumberedStandardBulletStylespara">
    <w:name w:val="List Paragraph.Bullet Points.Liste Paragraf.Numbered Standard.Bullet Styles para"/>
    <w:basedOn w:val="a"/>
    <w:uiPriority w:val="99"/>
    <w:rsid w:val="00DD332D"/>
    <w:pPr>
      <w:autoSpaceDE w:val="0"/>
      <w:autoSpaceDN w:val="0"/>
      <w:ind w:left="720" w:firstLine="709"/>
      <w:jc w:val="both"/>
    </w:pPr>
    <w:rPr>
      <w:rFonts w:eastAsiaTheme="minorEastAsia"/>
      <w:sz w:val="28"/>
      <w:szCs w:val="28"/>
      <w:lang w:val="ru-RU"/>
    </w:rPr>
  </w:style>
  <w:style w:type="character" w:customStyle="1" w:styleId="rvts9">
    <w:name w:val="rvts9"/>
    <w:basedOn w:val="a0"/>
    <w:uiPriority w:val="99"/>
    <w:rsid w:val="00F663E7"/>
    <w:rPr>
      <w:rFonts w:cs="Times New Roman"/>
    </w:rPr>
  </w:style>
  <w:style w:type="paragraph" w:styleId="ae">
    <w:name w:val="Balloon Text"/>
    <w:basedOn w:val="a"/>
    <w:link w:val="af"/>
    <w:uiPriority w:val="99"/>
    <w:semiHidden/>
    <w:unhideWhenUsed/>
    <w:rsid w:val="006816BD"/>
    <w:rPr>
      <w:rFonts w:ascii="Tahoma" w:hAnsi="Tahoma" w:cs="Tahoma"/>
      <w:sz w:val="16"/>
      <w:szCs w:val="16"/>
    </w:rPr>
  </w:style>
  <w:style w:type="character" w:customStyle="1" w:styleId="af">
    <w:name w:val="Текст выноски Знак"/>
    <w:basedOn w:val="a0"/>
    <w:link w:val="ae"/>
    <w:uiPriority w:val="99"/>
    <w:semiHidden/>
    <w:locked/>
    <w:rsid w:val="006816BD"/>
    <w:rPr>
      <w:rFonts w:ascii="Tahoma" w:hAnsi="Tahoma" w:cs="Tahoma"/>
      <w:sz w:val="16"/>
      <w:szCs w:val="16"/>
      <w:lang w:val="x-none" w:eastAsia="ru-RU"/>
    </w:rPr>
  </w:style>
  <w:style w:type="character" w:customStyle="1" w:styleId="rvts0">
    <w:name w:val="rvts0"/>
    <w:basedOn w:val="a0"/>
    <w:rsid w:val="00891061"/>
    <w:rPr>
      <w:rFonts w:cs="Times New Roman"/>
    </w:rPr>
  </w:style>
  <w:style w:type="paragraph" w:styleId="af0">
    <w:name w:val="Body Text"/>
    <w:basedOn w:val="a"/>
    <w:link w:val="af1"/>
    <w:uiPriority w:val="99"/>
    <w:rsid w:val="002774A2"/>
    <w:pPr>
      <w:spacing w:after="120"/>
    </w:pPr>
  </w:style>
  <w:style w:type="character" w:customStyle="1" w:styleId="af1">
    <w:name w:val="Основной текст Знак"/>
    <w:basedOn w:val="a0"/>
    <w:link w:val="af0"/>
    <w:uiPriority w:val="99"/>
    <w:locked/>
    <w:rsid w:val="002774A2"/>
    <w:rPr>
      <w:rFonts w:ascii="Times New Roman" w:hAnsi="Times New Roman" w:cs="Times New Roman"/>
      <w:sz w:val="24"/>
      <w:szCs w:val="24"/>
      <w:lang w:val="x-none" w:eastAsia="ru-RU"/>
    </w:rPr>
  </w:style>
  <w:style w:type="paragraph" w:customStyle="1" w:styleId="1">
    <w:name w:val="Без интервала1"/>
    <w:qFormat/>
    <w:rsid w:val="002774A2"/>
    <w:pPr>
      <w:spacing w:after="0" w:line="240" w:lineRule="auto"/>
    </w:pPr>
    <w:rPr>
      <w:rFonts w:ascii="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EEF"/>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
    <w:basedOn w:val="a"/>
    <w:link w:val="HTML0"/>
    <w:uiPriority w:val="99"/>
    <w:unhideWhenUsed/>
    <w:rsid w:val="0024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aliases w:val="Знак Знак"/>
    <w:basedOn w:val="a0"/>
    <w:link w:val="HTML"/>
    <w:uiPriority w:val="99"/>
    <w:locked/>
    <w:rsid w:val="00246EEF"/>
    <w:rPr>
      <w:rFonts w:ascii="Courier New" w:hAnsi="Courier New" w:cs="Times New Roman"/>
      <w:sz w:val="20"/>
      <w:szCs w:val="20"/>
      <w:lang w:val="ru-RU" w:eastAsia="ru-RU"/>
    </w:rPr>
  </w:style>
  <w:style w:type="character" w:customStyle="1" w:styleId="StyleZakonu">
    <w:name w:val="StyleZakonu Знак"/>
    <w:link w:val="StyleZakonu0"/>
    <w:uiPriority w:val="99"/>
    <w:locked/>
    <w:rsid w:val="002E7AEF"/>
    <w:rPr>
      <w:rFonts w:ascii="Times New Roman" w:hAnsi="Times New Roman"/>
      <w:sz w:val="20"/>
      <w:lang w:val="x-none" w:eastAsia="ru-RU"/>
    </w:rPr>
  </w:style>
  <w:style w:type="paragraph" w:customStyle="1" w:styleId="StyleZakonu0">
    <w:name w:val="StyleZakonu"/>
    <w:basedOn w:val="a"/>
    <w:link w:val="StyleZakonu"/>
    <w:uiPriority w:val="99"/>
    <w:rsid w:val="002E7AEF"/>
    <w:pPr>
      <w:spacing w:after="60" w:line="220" w:lineRule="exact"/>
      <w:ind w:firstLine="284"/>
      <w:jc w:val="both"/>
    </w:pPr>
    <w:rPr>
      <w:sz w:val="20"/>
      <w:szCs w:val="20"/>
    </w:rPr>
  </w:style>
  <w:style w:type="paragraph" w:styleId="a3">
    <w:name w:val="header"/>
    <w:basedOn w:val="a"/>
    <w:link w:val="a4"/>
    <w:uiPriority w:val="99"/>
    <w:unhideWhenUsed/>
    <w:rsid w:val="0051110F"/>
    <w:pPr>
      <w:tabs>
        <w:tab w:val="center" w:pos="4819"/>
        <w:tab w:val="right" w:pos="9639"/>
      </w:tabs>
    </w:pPr>
  </w:style>
  <w:style w:type="character" w:customStyle="1" w:styleId="a4">
    <w:name w:val="Верхний колонтитул Знак"/>
    <w:basedOn w:val="a0"/>
    <w:link w:val="a3"/>
    <w:uiPriority w:val="99"/>
    <w:locked/>
    <w:rsid w:val="0051110F"/>
    <w:rPr>
      <w:rFonts w:ascii="Times New Roman" w:hAnsi="Times New Roman" w:cs="Times New Roman"/>
      <w:sz w:val="24"/>
      <w:szCs w:val="24"/>
      <w:lang w:val="x-none" w:eastAsia="ru-RU"/>
    </w:rPr>
  </w:style>
  <w:style w:type="paragraph" w:styleId="a5">
    <w:name w:val="footer"/>
    <w:basedOn w:val="a"/>
    <w:link w:val="a6"/>
    <w:uiPriority w:val="99"/>
    <w:unhideWhenUsed/>
    <w:rsid w:val="0051110F"/>
    <w:pPr>
      <w:tabs>
        <w:tab w:val="center" w:pos="4819"/>
        <w:tab w:val="right" w:pos="9639"/>
      </w:tabs>
    </w:pPr>
  </w:style>
  <w:style w:type="character" w:customStyle="1" w:styleId="a6">
    <w:name w:val="Нижний колонтитул Знак"/>
    <w:basedOn w:val="a0"/>
    <w:link w:val="a5"/>
    <w:uiPriority w:val="99"/>
    <w:locked/>
    <w:rsid w:val="0051110F"/>
    <w:rPr>
      <w:rFonts w:ascii="Times New Roman" w:hAnsi="Times New Roman" w:cs="Times New Roman"/>
      <w:sz w:val="24"/>
      <w:szCs w:val="24"/>
      <w:lang w:val="x-none" w:eastAsia="ru-RU"/>
    </w:rPr>
  </w:style>
  <w:style w:type="paragraph" w:styleId="a7">
    <w:name w:val="No Spacing"/>
    <w:uiPriority w:val="1"/>
    <w:qFormat/>
    <w:rsid w:val="00861426"/>
    <w:pPr>
      <w:suppressAutoHyphens/>
      <w:spacing w:after="0" w:line="240" w:lineRule="auto"/>
    </w:pPr>
    <w:rPr>
      <w:rFonts w:ascii="Times New Roman" w:hAnsi="Times New Roman" w:cs="Times New Roman"/>
      <w:szCs w:val="20"/>
      <w:lang w:eastAsia="uk-UA"/>
    </w:rPr>
  </w:style>
  <w:style w:type="paragraph" w:customStyle="1" w:styleId="rvps2">
    <w:name w:val="rvps2"/>
    <w:basedOn w:val="a"/>
    <w:uiPriority w:val="99"/>
    <w:rsid w:val="00965CAC"/>
    <w:pPr>
      <w:spacing w:before="100" w:beforeAutospacing="1" w:after="100" w:afterAutospacing="1"/>
    </w:pPr>
    <w:rPr>
      <w:lang w:eastAsia="uk-UA"/>
    </w:rPr>
  </w:style>
  <w:style w:type="character" w:styleId="a8">
    <w:name w:val="Hyperlink"/>
    <w:basedOn w:val="a0"/>
    <w:uiPriority w:val="99"/>
    <w:semiHidden/>
    <w:unhideWhenUsed/>
    <w:rsid w:val="00F45838"/>
    <w:rPr>
      <w:rFonts w:cs="Times New Roman"/>
      <w:color w:val="0000FF"/>
      <w:u w:val="single"/>
    </w:rPr>
  </w:style>
  <w:style w:type="paragraph" w:customStyle="1" w:styleId="Style3">
    <w:name w:val="Style3"/>
    <w:basedOn w:val="a"/>
    <w:rsid w:val="00D103C4"/>
    <w:pPr>
      <w:widowControl w:val="0"/>
      <w:autoSpaceDE w:val="0"/>
      <w:autoSpaceDN w:val="0"/>
      <w:adjustRightInd w:val="0"/>
    </w:pPr>
    <w:rPr>
      <w:lang w:eastAsia="uk-UA"/>
    </w:rPr>
  </w:style>
  <w:style w:type="paragraph" w:styleId="a9">
    <w:name w:val="Body Text Indent"/>
    <w:basedOn w:val="a"/>
    <w:link w:val="aa"/>
    <w:uiPriority w:val="99"/>
    <w:rsid w:val="00D103C4"/>
    <w:pPr>
      <w:spacing w:after="120"/>
      <w:ind w:left="283"/>
    </w:pPr>
  </w:style>
  <w:style w:type="character" w:customStyle="1" w:styleId="aa">
    <w:name w:val="Основной текст с отступом Знак"/>
    <w:basedOn w:val="a0"/>
    <w:link w:val="a9"/>
    <w:uiPriority w:val="99"/>
    <w:locked/>
    <w:rsid w:val="00D103C4"/>
    <w:rPr>
      <w:rFonts w:ascii="Times New Roman" w:hAnsi="Times New Roman" w:cs="Times New Roman"/>
      <w:sz w:val="24"/>
      <w:szCs w:val="24"/>
      <w:lang w:val="x-none" w:eastAsia="ru-RU"/>
    </w:rPr>
  </w:style>
  <w:style w:type="paragraph" w:customStyle="1" w:styleId="ab">
    <w:name w:val="Вид документа"/>
    <w:basedOn w:val="a"/>
    <w:next w:val="a"/>
    <w:rsid w:val="000648C5"/>
    <w:pPr>
      <w:keepNext/>
      <w:keepLines/>
      <w:spacing w:after="240"/>
      <w:jc w:val="right"/>
    </w:pPr>
    <w:rPr>
      <w:rFonts w:ascii="Antiqua" w:hAnsi="Antiqua"/>
      <w:spacing w:val="20"/>
      <w:sz w:val="26"/>
      <w:szCs w:val="20"/>
    </w:rPr>
  </w:style>
  <w:style w:type="paragraph" w:styleId="ac">
    <w:name w:val="Normal (Web)"/>
    <w:basedOn w:val="a"/>
    <w:uiPriority w:val="99"/>
    <w:rsid w:val="001B0241"/>
    <w:pPr>
      <w:spacing w:before="100" w:beforeAutospacing="1" w:after="100" w:afterAutospacing="1"/>
    </w:pPr>
    <w:rPr>
      <w:lang w:val="ru-RU"/>
    </w:rPr>
  </w:style>
  <w:style w:type="paragraph" w:customStyle="1" w:styleId="ad">
    <w:name w:val="Нормальний текст"/>
    <w:basedOn w:val="a"/>
    <w:rsid w:val="008C2421"/>
    <w:pPr>
      <w:spacing w:before="120"/>
      <w:ind w:firstLine="567"/>
      <w:jc w:val="both"/>
    </w:pPr>
    <w:rPr>
      <w:rFonts w:ascii="Antiqua" w:hAnsi="Antiqua"/>
      <w:sz w:val="26"/>
      <w:szCs w:val="20"/>
    </w:rPr>
  </w:style>
  <w:style w:type="paragraph" w:customStyle="1" w:styleId="ListParagraphBulletPointsListeParagrafNumberedStandardBulletStylespara">
    <w:name w:val="List Paragraph.Bullet Points.Liste Paragraf.Numbered Standard.Bullet Styles para"/>
    <w:basedOn w:val="a"/>
    <w:uiPriority w:val="99"/>
    <w:rsid w:val="00DD332D"/>
    <w:pPr>
      <w:autoSpaceDE w:val="0"/>
      <w:autoSpaceDN w:val="0"/>
      <w:ind w:left="720" w:firstLine="709"/>
      <w:jc w:val="both"/>
    </w:pPr>
    <w:rPr>
      <w:rFonts w:eastAsiaTheme="minorEastAsia"/>
      <w:sz w:val="28"/>
      <w:szCs w:val="28"/>
      <w:lang w:val="ru-RU"/>
    </w:rPr>
  </w:style>
  <w:style w:type="character" w:customStyle="1" w:styleId="rvts9">
    <w:name w:val="rvts9"/>
    <w:basedOn w:val="a0"/>
    <w:uiPriority w:val="99"/>
    <w:rsid w:val="00F663E7"/>
    <w:rPr>
      <w:rFonts w:cs="Times New Roman"/>
    </w:rPr>
  </w:style>
  <w:style w:type="paragraph" w:styleId="ae">
    <w:name w:val="Balloon Text"/>
    <w:basedOn w:val="a"/>
    <w:link w:val="af"/>
    <w:uiPriority w:val="99"/>
    <w:semiHidden/>
    <w:unhideWhenUsed/>
    <w:rsid w:val="006816BD"/>
    <w:rPr>
      <w:rFonts w:ascii="Tahoma" w:hAnsi="Tahoma" w:cs="Tahoma"/>
      <w:sz w:val="16"/>
      <w:szCs w:val="16"/>
    </w:rPr>
  </w:style>
  <w:style w:type="character" w:customStyle="1" w:styleId="af">
    <w:name w:val="Текст выноски Знак"/>
    <w:basedOn w:val="a0"/>
    <w:link w:val="ae"/>
    <w:uiPriority w:val="99"/>
    <w:semiHidden/>
    <w:locked/>
    <w:rsid w:val="006816BD"/>
    <w:rPr>
      <w:rFonts w:ascii="Tahoma" w:hAnsi="Tahoma" w:cs="Tahoma"/>
      <w:sz w:val="16"/>
      <w:szCs w:val="16"/>
      <w:lang w:val="x-none" w:eastAsia="ru-RU"/>
    </w:rPr>
  </w:style>
  <w:style w:type="character" w:customStyle="1" w:styleId="rvts0">
    <w:name w:val="rvts0"/>
    <w:basedOn w:val="a0"/>
    <w:rsid w:val="00891061"/>
    <w:rPr>
      <w:rFonts w:cs="Times New Roman"/>
    </w:rPr>
  </w:style>
  <w:style w:type="paragraph" w:styleId="af0">
    <w:name w:val="Body Text"/>
    <w:basedOn w:val="a"/>
    <w:link w:val="af1"/>
    <w:uiPriority w:val="99"/>
    <w:rsid w:val="002774A2"/>
    <w:pPr>
      <w:spacing w:after="120"/>
    </w:pPr>
  </w:style>
  <w:style w:type="character" w:customStyle="1" w:styleId="af1">
    <w:name w:val="Основной текст Знак"/>
    <w:basedOn w:val="a0"/>
    <w:link w:val="af0"/>
    <w:uiPriority w:val="99"/>
    <w:locked/>
    <w:rsid w:val="002774A2"/>
    <w:rPr>
      <w:rFonts w:ascii="Times New Roman" w:hAnsi="Times New Roman" w:cs="Times New Roman"/>
      <w:sz w:val="24"/>
      <w:szCs w:val="24"/>
      <w:lang w:val="x-none" w:eastAsia="ru-RU"/>
    </w:rPr>
  </w:style>
  <w:style w:type="paragraph" w:customStyle="1" w:styleId="1">
    <w:name w:val="Без интервала1"/>
    <w:qFormat/>
    <w:rsid w:val="002774A2"/>
    <w:pPr>
      <w:spacing w:after="0" w:line="240" w:lineRule="auto"/>
    </w:pPr>
    <w:rPr>
      <w:rFonts w:ascii="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5896">
      <w:marLeft w:val="0"/>
      <w:marRight w:val="0"/>
      <w:marTop w:val="0"/>
      <w:marBottom w:val="0"/>
      <w:divBdr>
        <w:top w:val="none" w:sz="0" w:space="0" w:color="auto"/>
        <w:left w:val="none" w:sz="0" w:space="0" w:color="auto"/>
        <w:bottom w:val="none" w:sz="0" w:space="0" w:color="auto"/>
        <w:right w:val="none" w:sz="0" w:space="0" w:color="auto"/>
      </w:divBdr>
    </w:div>
    <w:div w:id="668095898">
      <w:marLeft w:val="0"/>
      <w:marRight w:val="0"/>
      <w:marTop w:val="0"/>
      <w:marBottom w:val="0"/>
      <w:divBdr>
        <w:top w:val="none" w:sz="0" w:space="0" w:color="auto"/>
        <w:left w:val="none" w:sz="0" w:space="0" w:color="auto"/>
        <w:bottom w:val="none" w:sz="0" w:space="0" w:color="auto"/>
        <w:right w:val="none" w:sz="0" w:space="0" w:color="auto"/>
      </w:divBdr>
    </w:div>
    <w:div w:id="668095899">
      <w:marLeft w:val="0"/>
      <w:marRight w:val="0"/>
      <w:marTop w:val="0"/>
      <w:marBottom w:val="0"/>
      <w:divBdr>
        <w:top w:val="none" w:sz="0" w:space="0" w:color="auto"/>
        <w:left w:val="none" w:sz="0" w:space="0" w:color="auto"/>
        <w:bottom w:val="none" w:sz="0" w:space="0" w:color="auto"/>
        <w:right w:val="none" w:sz="0" w:space="0" w:color="auto"/>
      </w:divBdr>
    </w:div>
    <w:div w:id="668095901">
      <w:marLeft w:val="0"/>
      <w:marRight w:val="0"/>
      <w:marTop w:val="0"/>
      <w:marBottom w:val="0"/>
      <w:divBdr>
        <w:top w:val="none" w:sz="0" w:space="0" w:color="auto"/>
        <w:left w:val="none" w:sz="0" w:space="0" w:color="auto"/>
        <w:bottom w:val="none" w:sz="0" w:space="0" w:color="auto"/>
        <w:right w:val="none" w:sz="0" w:space="0" w:color="auto"/>
      </w:divBdr>
      <w:divsChild>
        <w:div w:id="668095900">
          <w:marLeft w:val="0"/>
          <w:marRight w:val="0"/>
          <w:marTop w:val="0"/>
          <w:marBottom w:val="0"/>
          <w:divBdr>
            <w:top w:val="none" w:sz="0" w:space="0" w:color="auto"/>
            <w:left w:val="none" w:sz="0" w:space="0" w:color="auto"/>
            <w:bottom w:val="none" w:sz="0" w:space="0" w:color="auto"/>
            <w:right w:val="none" w:sz="0" w:space="0" w:color="auto"/>
          </w:divBdr>
          <w:divsChild>
            <w:div w:id="668095903">
              <w:marLeft w:val="0"/>
              <w:marRight w:val="0"/>
              <w:marTop w:val="0"/>
              <w:marBottom w:val="0"/>
              <w:divBdr>
                <w:top w:val="none" w:sz="0" w:space="0" w:color="auto"/>
                <w:left w:val="none" w:sz="0" w:space="0" w:color="auto"/>
                <w:bottom w:val="none" w:sz="0" w:space="0" w:color="auto"/>
                <w:right w:val="none" w:sz="0" w:space="0" w:color="auto"/>
              </w:divBdr>
              <w:divsChild>
                <w:div w:id="6680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5904">
      <w:marLeft w:val="0"/>
      <w:marRight w:val="0"/>
      <w:marTop w:val="0"/>
      <w:marBottom w:val="0"/>
      <w:divBdr>
        <w:top w:val="none" w:sz="0" w:space="0" w:color="auto"/>
        <w:left w:val="none" w:sz="0" w:space="0" w:color="auto"/>
        <w:bottom w:val="none" w:sz="0" w:space="0" w:color="auto"/>
        <w:right w:val="none" w:sz="0" w:space="0" w:color="auto"/>
      </w:divBdr>
    </w:div>
    <w:div w:id="668095905">
      <w:marLeft w:val="0"/>
      <w:marRight w:val="0"/>
      <w:marTop w:val="0"/>
      <w:marBottom w:val="0"/>
      <w:divBdr>
        <w:top w:val="none" w:sz="0" w:space="0" w:color="auto"/>
        <w:left w:val="none" w:sz="0" w:space="0" w:color="auto"/>
        <w:bottom w:val="none" w:sz="0" w:space="0" w:color="auto"/>
        <w:right w:val="none" w:sz="0" w:space="0" w:color="auto"/>
      </w:divBdr>
    </w:div>
    <w:div w:id="668095906">
      <w:marLeft w:val="0"/>
      <w:marRight w:val="0"/>
      <w:marTop w:val="0"/>
      <w:marBottom w:val="0"/>
      <w:divBdr>
        <w:top w:val="none" w:sz="0" w:space="0" w:color="auto"/>
        <w:left w:val="none" w:sz="0" w:space="0" w:color="auto"/>
        <w:bottom w:val="none" w:sz="0" w:space="0" w:color="auto"/>
        <w:right w:val="none" w:sz="0" w:space="0" w:color="auto"/>
      </w:divBdr>
      <w:divsChild>
        <w:div w:id="668095897">
          <w:marLeft w:val="0"/>
          <w:marRight w:val="0"/>
          <w:marTop w:val="0"/>
          <w:marBottom w:val="0"/>
          <w:divBdr>
            <w:top w:val="none" w:sz="0" w:space="0" w:color="auto"/>
            <w:left w:val="none" w:sz="0" w:space="0" w:color="auto"/>
            <w:bottom w:val="none" w:sz="0" w:space="0" w:color="auto"/>
            <w:right w:val="none" w:sz="0" w:space="0" w:color="auto"/>
          </w:divBdr>
        </w:div>
      </w:divsChild>
    </w:div>
    <w:div w:id="668095907">
      <w:marLeft w:val="0"/>
      <w:marRight w:val="0"/>
      <w:marTop w:val="0"/>
      <w:marBottom w:val="0"/>
      <w:divBdr>
        <w:top w:val="none" w:sz="0" w:space="0" w:color="auto"/>
        <w:left w:val="none" w:sz="0" w:space="0" w:color="auto"/>
        <w:bottom w:val="none" w:sz="0" w:space="0" w:color="auto"/>
        <w:right w:val="none" w:sz="0" w:space="0" w:color="auto"/>
      </w:divBdr>
    </w:div>
    <w:div w:id="668095908">
      <w:marLeft w:val="0"/>
      <w:marRight w:val="0"/>
      <w:marTop w:val="0"/>
      <w:marBottom w:val="0"/>
      <w:divBdr>
        <w:top w:val="none" w:sz="0" w:space="0" w:color="auto"/>
        <w:left w:val="none" w:sz="0" w:space="0" w:color="auto"/>
        <w:bottom w:val="none" w:sz="0" w:space="0" w:color="auto"/>
        <w:right w:val="none" w:sz="0" w:space="0" w:color="auto"/>
      </w:divBdr>
    </w:div>
    <w:div w:id="668095909">
      <w:marLeft w:val="0"/>
      <w:marRight w:val="0"/>
      <w:marTop w:val="0"/>
      <w:marBottom w:val="0"/>
      <w:divBdr>
        <w:top w:val="none" w:sz="0" w:space="0" w:color="auto"/>
        <w:left w:val="none" w:sz="0" w:space="0" w:color="auto"/>
        <w:bottom w:val="none" w:sz="0" w:space="0" w:color="auto"/>
        <w:right w:val="none" w:sz="0" w:space="0" w:color="auto"/>
      </w:divBdr>
    </w:div>
    <w:div w:id="668095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55-20" TargetMode="External"/><Relationship Id="rId3" Type="http://schemas.openxmlformats.org/officeDocument/2006/relationships/settings" Target="settings.xml"/><Relationship Id="rId7" Type="http://schemas.openxmlformats.org/officeDocument/2006/relationships/hyperlink" Target="https://zakon.rada.gov.ua/laws/show/3855-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996-201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742</Words>
  <Characters>5550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Тарасенко Ольга Володимирівна</cp:lastModifiedBy>
  <cp:revision>13</cp:revision>
  <cp:lastPrinted>2025-01-10T07:44:00Z</cp:lastPrinted>
  <dcterms:created xsi:type="dcterms:W3CDTF">2025-05-23T12:13:00Z</dcterms:created>
  <dcterms:modified xsi:type="dcterms:W3CDTF">2025-06-16T08:00:00Z</dcterms:modified>
</cp:coreProperties>
</file>