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EE" w:rsidRDefault="00A12A5A" w:rsidP="009720EE">
      <w:pPr>
        <w:pStyle w:val="HTML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3912">
        <w:rPr>
          <w:rFonts w:ascii="Times New Roman" w:hAnsi="Times New Roman"/>
          <w:b/>
          <w:bCs/>
          <w:color w:val="auto"/>
          <w:sz w:val="28"/>
          <w:szCs w:val="28"/>
        </w:rPr>
        <w:t>АНАЛІЗ РЕГУЛЯТОРНОГО ВПЛИВУ</w:t>
      </w:r>
    </w:p>
    <w:p w:rsidR="0074502F" w:rsidRPr="009720EE" w:rsidRDefault="00CF39EA" w:rsidP="00E56C3A">
      <w:pPr>
        <w:pStyle w:val="HTML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3912">
        <w:rPr>
          <w:rFonts w:ascii="Times New Roman" w:hAnsi="Times New Roman"/>
          <w:b/>
          <w:sz w:val="28"/>
          <w:szCs w:val="28"/>
        </w:rPr>
        <w:t xml:space="preserve">проєкту </w:t>
      </w:r>
      <w:r w:rsidR="0074502F" w:rsidRPr="00BD3912">
        <w:rPr>
          <w:rFonts w:ascii="Times New Roman" w:hAnsi="Times New Roman"/>
          <w:b/>
          <w:sz w:val="28"/>
          <w:szCs w:val="28"/>
        </w:rPr>
        <w:t>наказу Міністерства захисту довкілля та природних ресурсів</w:t>
      </w:r>
      <w:r w:rsidR="009720EE">
        <w:rPr>
          <w:rFonts w:ascii="Times New Roman" w:hAnsi="Times New Roman"/>
          <w:b/>
          <w:sz w:val="28"/>
          <w:szCs w:val="28"/>
        </w:rPr>
        <w:t xml:space="preserve"> України </w:t>
      </w:r>
      <w:r w:rsidR="0074502F" w:rsidRPr="00BD3912">
        <w:rPr>
          <w:rFonts w:ascii="Times New Roman" w:hAnsi="Times New Roman"/>
          <w:b/>
          <w:sz w:val="28"/>
          <w:szCs w:val="28"/>
        </w:rPr>
        <w:t>«</w:t>
      </w:r>
      <w:r w:rsidR="005D606F" w:rsidRPr="005D606F">
        <w:rPr>
          <w:rFonts w:ascii="Times New Roman" w:hAnsi="Times New Roman"/>
          <w:b/>
          <w:sz w:val="28"/>
          <w:szCs w:val="28"/>
        </w:rPr>
        <w:t>Про затвердження форми та вимог до змісту базового звіту, оцінки стану забруднення земель та підземних вод та методики оцінки стану забруднення земель та підземних вод промислового майданчика</w:t>
      </w:r>
      <w:r w:rsidR="0074502F" w:rsidRPr="00BD3912">
        <w:rPr>
          <w:rFonts w:ascii="Times New Roman" w:hAnsi="Times New Roman"/>
          <w:b/>
          <w:sz w:val="28"/>
          <w:szCs w:val="28"/>
        </w:rPr>
        <w:t>»</w:t>
      </w:r>
    </w:p>
    <w:p w:rsidR="009720EE" w:rsidRDefault="009720EE" w:rsidP="00BD391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0644" w:rsidRPr="005A75BC" w:rsidRDefault="002B57BF" w:rsidP="005A75BC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BD3912">
        <w:rPr>
          <w:rFonts w:ascii="Times New Roman" w:hAnsi="Times New Roman"/>
          <w:b/>
          <w:bCs/>
          <w:sz w:val="28"/>
          <w:szCs w:val="28"/>
        </w:rPr>
        <w:t>І. Визначення проблеми</w:t>
      </w:r>
    </w:p>
    <w:p w:rsidR="00CF39EA" w:rsidRPr="00BD3912" w:rsidRDefault="00CF39EA" w:rsidP="00BD3912">
      <w:pPr>
        <w:pStyle w:val="ac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D3912">
        <w:rPr>
          <w:rFonts w:ascii="Times New Roman" w:hAnsi="Times New Roman"/>
          <w:sz w:val="28"/>
          <w:szCs w:val="28"/>
        </w:rPr>
        <w:t xml:space="preserve">Верховною Радою України прийнято Закон України від 16 липня </w:t>
      </w:r>
      <w:r w:rsidR="00155A73">
        <w:rPr>
          <w:rFonts w:ascii="Times New Roman" w:hAnsi="Times New Roman"/>
          <w:sz w:val="28"/>
          <w:szCs w:val="28"/>
        </w:rPr>
        <w:br/>
      </w:r>
      <w:r w:rsidRPr="00BD3912">
        <w:rPr>
          <w:rFonts w:ascii="Times New Roman" w:hAnsi="Times New Roman"/>
          <w:sz w:val="28"/>
          <w:szCs w:val="28"/>
        </w:rPr>
        <w:t>2024 року № 3855-IX «Про інтегроване запобігання та контроль промислового забруднення» (далі – Закон), який дозволив повноцінно запустити реформу запобігання промисловому забрудненню, а також розпочати поступовий перехід на нову дозвільну систему у сфері охорони довкілля та найкращ</w:t>
      </w:r>
      <w:r w:rsidR="00250B5C">
        <w:rPr>
          <w:rFonts w:ascii="Times New Roman" w:hAnsi="Times New Roman"/>
          <w:sz w:val="28"/>
          <w:szCs w:val="28"/>
        </w:rPr>
        <w:t xml:space="preserve">і </w:t>
      </w:r>
      <w:r w:rsidRPr="00BD3912">
        <w:rPr>
          <w:rFonts w:ascii="Times New Roman" w:hAnsi="Times New Roman"/>
          <w:sz w:val="28"/>
          <w:szCs w:val="28"/>
        </w:rPr>
        <w:t>доступн</w:t>
      </w:r>
      <w:r w:rsidR="00250B5C">
        <w:rPr>
          <w:rFonts w:ascii="Times New Roman" w:hAnsi="Times New Roman"/>
          <w:sz w:val="28"/>
          <w:szCs w:val="28"/>
        </w:rPr>
        <w:t>і</w:t>
      </w:r>
      <w:r w:rsidRPr="00BD3912">
        <w:rPr>
          <w:rFonts w:ascii="Times New Roman" w:hAnsi="Times New Roman"/>
          <w:sz w:val="28"/>
          <w:szCs w:val="28"/>
        </w:rPr>
        <w:t xml:space="preserve"> технологі</w:t>
      </w:r>
      <w:r w:rsidR="00250B5C">
        <w:rPr>
          <w:rFonts w:ascii="Times New Roman" w:hAnsi="Times New Roman"/>
          <w:sz w:val="28"/>
          <w:szCs w:val="28"/>
        </w:rPr>
        <w:t>ї</w:t>
      </w:r>
      <w:r w:rsidRPr="00BD3912">
        <w:rPr>
          <w:rFonts w:ascii="Times New Roman" w:hAnsi="Times New Roman"/>
          <w:sz w:val="28"/>
          <w:szCs w:val="28"/>
        </w:rPr>
        <w:t xml:space="preserve"> та метод</w:t>
      </w:r>
      <w:r w:rsidR="00250B5C">
        <w:rPr>
          <w:rFonts w:ascii="Times New Roman" w:hAnsi="Times New Roman"/>
          <w:sz w:val="28"/>
          <w:szCs w:val="28"/>
        </w:rPr>
        <w:t>и</w:t>
      </w:r>
      <w:r w:rsidRPr="00BD3912">
        <w:rPr>
          <w:rFonts w:ascii="Times New Roman" w:hAnsi="Times New Roman"/>
          <w:sz w:val="28"/>
          <w:szCs w:val="28"/>
        </w:rPr>
        <w:t xml:space="preserve"> управління</w:t>
      </w:r>
      <w:r w:rsidR="00BA5B63" w:rsidRPr="00BD3912">
        <w:rPr>
          <w:rFonts w:ascii="Times New Roman" w:hAnsi="Times New Roman"/>
          <w:sz w:val="28"/>
          <w:szCs w:val="28"/>
        </w:rPr>
        <w:t xml:space="preserve"> </w:t>
      </w:r>
      <w:r w:rsidRPr="00BD3912">
        <w:rPr>
          <w:rFonts w:ascii="Times New Roman" w:hAnsi="Times New Roman"/>
          <w:sz w:val="28"/>
          <w:szCs w:val="28"/>
        </w:rPr>
        <w:t xml:space="preserve">(далі – НДТМ) відповідно до вимог </w:t>
      </w:r>
      <w:r w:rsidRPr="00BD3912">
        <w:rPr>
          <w:rFonts w:ascii="Times New Roman" w:hAnsi="Times New Roman"/>
          <w:sz w:val="28"/>
          <w:szCs w:val="28"/>
          <w:lang w:eastAsia="ru-RU"/>
        </w:rPr>
        <w:t>Директиви</w:t>
      </w:r>
      <w:r w:rsidRPr="00BD3912">
        <w:rPr>
          <w:rFonts w:ascii="Times New Roman" w:hAnsi="Times New Roman"/>
        </w:rPr>
        <w:t xml:space="preserve"> </w:t>
      </w:r>
      <w:r w:rsidRPr="00BD3912">
        <w:rPr>
          <w:rFonts w:ascii="Times New Roman" w:hAnsi="Times New Roman"/>
          <w:sz w:val="28"/>
        </w:rPr>
        <w:t xml:space="preserve">Європейського Парламенту і Ради 2010/75/ЄС від 24 листопада </w:t>
      </w:r>
      <w:r w:rsidR="00E56C3A">
        <w:rPr>
          <w:rFonts w:ascii="Times New Roman" w:hAnsi="Times New Roman"/>
          <w:sz w:val="28"/>
        </w:rPr>
        <w:br/>
      </w:r>
      <w:r w:rsidRPr="00BD3912">
        <w:rPr>
          <w:rFonts w:ascii="Times New Roman" w:hAnsi="Times New Roman"/>
          <w:sz w:val="28"/>
        </w:rPr>
        <w:t>2010 року про промислові викиди (інтегрований підхід до запобігання</w:t>
      </w:r>
      <w:r w:rsidR="00BA5B63" w:rsidRPr="00BD3912">
        <w:rPr>
          <w:rFonts w:ascii="Times New Roman" w:hAnsi="Times New Roman"/>
          <w:sz w:val="28"/>
        </w:rPr>
        <w:t xml:space="preserve"> забрудненню та його контролю) </w:t>
      </w:r>
      <w:r w:rsidRPr="00BD3912">
        <w:rPr>
          <w:rFonts w:ascii="Times New Roman" w:hAnsi="Times New Roman"/>
          <w:sz w:val="28"/>
        </w:rPr>
        <w:t>(далі – Директива 2010/75/ЄС)</w:t>
      </w:r>
      <w:r w:rsidRPr="00BD3912">
        <w:rPr>
          <w:rFonts w:ascii="Times New Roman" w:hAnsi="Times New Roman"/>
          <w:sz w:val="28"/>
          <w:szCs w:val="28"/>
        </w:rPr>
        <w:t>.</w:t>
      </w:r>
    </w:p>
    <w:p w:rsidR="00B266E4" w:rsidRPr="00BD3912" w:rsidRDefault="00B266E4" w:rsidP="00BD3912">
      <w:pPr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/>
          <w:sz w:val="28"/>
          <w:szCs w:val="28"/>
        </w:rPr>
      </w:pPr>
      <w:r w:rsidRPr="00BD3912">
        <w:rPr>
          <w:rFonts w:ascii="Times New Roman" w:hAnsi="Times New Roman"/>
          <w:sz w:val="28"/>
          <w:szCs w:val="28"/>
        </w:rPr>
        <w:t>Процес</w:t>
      </w:r>
      <w:r w:rsidR="00E96211" w:rsidRPr="00BD3912">
        <w:rPr>
          <w:rFonts w:ascii="Times New Roman" w:hAnsi="Times New Roman"/>
          <w:sz w:val="28"/>
          <w:szCs w:val="28"/>
        </w:rPr>
        <w:t xml:space="preserve"> </w:t>
      </w:r>
      <w:r w:rsidRPr="00BD3912">
        <w:rPr>
          <w:rFonts w:ascii="Times New Roman" w:hAnsi="Times New Roman"/>
          <w:sz w:val="28"/>
          <w:szCs w:val="28"/>
        </w:rPr>
        <w:t xml:space="preserve">функціонування установки та/або використання промислового майданчика передбачає і етап припинення експлуатації установки та/або використання промислового майданчика, вимоги до якого передбачені </w:t>
      </w:r>
      <w:r w:rsidR="00E56C3A">
        <w:rPr>
          <w:rFonts w:ascii="Times New Roman" w:hAnsi="Times New Roman"/>
          <w:sz w:val="28"/>
          <w:szCs w:val="28"/>
        </w:rPr>
        <w:br/>
      </w:r>
      <w:r w:rsidRPr="00BD3912">
        <w:rPr>
          <w:rFonts w:ascii="Times New Roman" w:hAnsi="Times New Roman"/>
          <w:sz w:val="28"/>
          <w:szCs w:val="28"/>
        </w:rPr>
        <w:t xml:space="preserve">статтею 25 Закону. </w:t>
      </w:r>
    </w:p>
    <w:p w:rsidR="003C4EF9" w:rsidRDefault="00B266E4" w:rsidP="003C4EF9">
      <w:pPr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/>
          <w:sz w:val="28"/>
          <w:szCs w:val="28"/>
        </w:rPr>
      </w:pPr>
      <w:r w:rsidRPr="00BD3912">
        <w:rPr>
          <w:rFonts w:ascii="Times New Roman" w:hAnsi="Times New Roman"/>
          <w:sz w:val="28"/>
          <w:szCs w:val="28"/>
        </w:rPr>
        <w:t>Закон</w:t>
      </w:r>
      <w:r w:rsidR="003C4EF9">
        <w:rPr>
          <w:rFonts w:ascii="Times New Roman" w:hAnsi="Times New Roman"/>
          <w:sz w:val="28"/>
          <w:szCs w:val="28"/>
        </w:rPr>
        <w:t>ом передбачено</w:t>
      </w:r>
      <w:r w:rsidRPr="00BD3912">
        <w:rPr>
          <w:rFonts w:ascii="Times New Roman" w:hAnsi="Times New Roman"/>
          <w:sz w:val="28"/>
          <w:szCs w:val="28"/>
        </w:rPr>
        <w:t>,</w:t>
      </w:r>
      <w:r w:rsidR="003C4EF9">
        <w:rPr>
          <w:rFonts w:ascii="Times New Roman" w:hAnsi="Times New Roman"/>
          <w:sz w:val="28"/>
          <w:szCs w:val="28"/>
        </w:rPr>
        <w:t xml:space="preserve"> що</w:t>
      </w:r>
      <w:r w:rsidRPr="00BD3912">
        <w:rPr>
          <w:rFonts w:ascii="Times New Roman" w:hAnsi="Times New Roman"/>
          <w:sz w:val="28"/>
          <w:szCs w:val="28"/>
        </w:rPr>
        <w:t xml:space="preserve"> якщо діяльність установки включає використання, вироблення або вивільнення небезпечних речовин, оператор установки, беручи до уваги можливість забруднення земель або підземних вод у межах промислового майданчика, разом із заявою про отримання інтегрованого довкіллєвого дозволу (внесення змін до нього) складає та подає до дозвільного органу базовий звіт.</w:t>
      </w:r>
      <w:r w:rsidR="00294393" w:rsidRPr="00BD3912">
        <w:rPr>
          <w:rFonts w:ascii="Times New Roman" w:hAnsi="Times New Roman"/>
        </w:rPr>
        <w:t xml:space="preserve"> </w:t>
      </w:r>
      <w:r w:rsidR="00294393" w:rsidRPr="00BD3912">
        <w:rPr>
          <w:rFonts w:ascii="Times New Roman" w:hAnsi="Times New Roman"/>
          <w:sz w:val="28"/>
          <w:szCs w:val="28"/>
        </w:rPr>
        <w:t>Дозвільний орган використовує базовий звіт для визначення умов інтегрованого довкіллєвого дозволу, спрямованих на запобігання та зменшення забруднення навколишнього середовища.</w:t>
      </w:r>
    </w:p>
    <w:p w:rsidR="003C4EF9" w:rsidRDefault="003C4EF9" w:rsidP="003C4EF9">
      <w:pPr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Також Законом передбачено, що ф</w:t>
      </w:r>
      <w:r w:rsidRPr="003C4EF9">
        <w:rPr>
          <w:rFonts w:ascii="Times New Roman" w:hAnsi="Times New Roman"/>
          <w:sz w:val="28"/>
          <w:szCs w:val="28"/>
        </w:rPr>
        <w:t>орма та вимоги до змісту базового звіту, оцінки стану забруднення земель та підземних вод, перелік небезпечних речовин, а також методика оцінки стану забруднення земель та підземних вод затверджуються центральним органом виконавчої влади, що забезпечує формування державної політики у сфері охорони навколишнього природного середовища.</w:t>
      </w:r>
    </w:p>
    <w:p w:rsidR="0074502F" w:rsidRPr="00BD3912" w:rsidRDefault="003C4EF9" w:rsidP="00BD3912">
      <w:pPr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чином, повноцінна реалізація Закону передбачає, зокрема необхідність </w:t>
      </w:r>
      <w:r w:rsidR="00294393" w:rsidRPr="00BD3912">
        <w:rPr>
          <w:rFonts w:ascii="Times New Roman" w:hAnsi="Times New Roman"/>
          <w:sz w:val="28"/>
          <w:szCs w:val="28"/>
        </w:rPr>
        <w:t>затверд</w:t>
      </w:r>
      <w:r>
        <w:rPr>
          <w:rFonts w:ascii="Times New Roman" w:hAnsi="Times New Roman"/>
          <w:sz w:val="28"/>
          <w:szCs w:val="28"/>
        </w:rPr>
        <w:t>ження</w:t>
      </w:r>
      <w:r w:rsidR="00294393" w:rsidRPr="00BD3912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и та вимог</w:t>
      </w:r>
      <w:r w:rsidR="004A25F1">
        <w:rPr>
          <w:rFonts w:ascii="Times New Roman" w:hAnsi="Times New Roman"/>
          <w:sz w:val="28"/>
          <w:szCs w:val="28"/>
        </w:rPr>
        <w:t xml:space="preserve"> до змісту базового звіту, які</w:t>
      </w:r>
      <w:r w:rsidR="00294393" w:rsidRPr="00BD3912">
        <w:rPr>
          <w:rFonts w:ascii="Times New Roman" w:hAnsi="Times New Roman"/>
          <w:sz w:val="28"/>
          <w:szCs w:val="28"/>
        </w:rPr>
        <w:t xml:space="preserve"> є основою для оцінки екологічного стану об'єкта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4A25F1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також</w:t>
      </w:r>
      <w:r w:rsidR="00294393" w:rsidRPr="00BD3912">
        <w:rPr>
          <w:rFonts w:ascii="Times New Roman" w:hAnsi="Times New Roman"/>
          <w:sz w:val="28"/>
          <w:szCs w:val="28"/>
        </w:rPr>
        <w:t xml:space="preserve"> розроб</w:t>
      </w:r>
      <w:r>
        <w:rPr>
          <w:rFonts w:ascii="Times New Roman" w:hAnsi="Times New Roman"/>
          <w:sz w:val="28"/>
          <w:szCs w:val="28"/>
        </w:rPr>
        <w:t>лення</w:t>
      </w:r>
      <w:r w:rsidR="00294393" w:rsidRPr="00BD3912">
        <w:rPr>
          <w:rFonts w:ascii="Times New Roman" w:hAnsi="Times New Roman"/>
          <w:sz w:val="28"/>
          <w:szCs w:val="28"/>
        </w:rPr>
        <w:t xml:space="preserve"> методики оцінки стану забруднення земель та підземних вод, що дозволить об'єктивно визначати рівень небезпеки. </w:t>
      </w:r>
    </w:p>
    <w:p w:rsidR="00294393" w:rsidRPr="00BD3912" w:rsidRDefault="004A25F1" w:rsidP="00BD3912">
      <w:pPr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D3912">
        <w:rPr>
          <w:rFonts w:ascii="Times New Roman" w:hAnsi="Times New Roman"/>
          <w:sz w:val="28"/>
          <w:szCs w:val="28"/>
        </w:rPr>
        <w:t xml:space="preserve">а сьогодні </w:t>
      </w:r>
      <w:r>
        <w:rPr>
          <w:rFonts w:ascii="Times New Roman" w:hAnsi="Times New Roman"/>
          <w:sz w:val="28"/>
          <w:szCs w:val="28"/>
        </w:rPr>
        <w:t>ч</w:t>
      </w:r>
      <w:r w:rsidR="00294393" w:rsidRPr="00BD3912">
        <w:rPr>
          <w:rFonts w:ascii="Times New Roman" w:hAnsi="Times New Roman"/>
          <w:sz w:val="28"/>
          <w:szCs w:val="28"/>
        </w:rPr>
        <w:t>инним законодавством зазначені питання не врегуль</w:t>
      </w:r>
      <w:r w:rsidR="003C4EF9">
        <w:rPr>
          <w:rFonts w:ascii="Times New Roman" w:hAnsi="Times New Roman"/>
          <w:sz w:val="28"/>
          <w:szCs w:val="28"/>
        </w:rPr>
        <w:t>овано, що створює перешкоди для повноцінної реалізації вимог Закону.</w:t>
      </w:r>
    </w:p>
    <w:p w:rsidR="009D0C96" w:rsidRPr="009D0C96" w:rsidRDefault="009D0C96" w:rsidP="009D0C96">
      <w:pPr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Загальні вимоги до </w:t>
      </w:r>
      <w:r w:rsidRPr="009D0C96">
        <w:rPr>
          <w:rFonts w:ascii="Times New Roman" w:hAnsi="Times New Roman"/>
          <w:bCs/>
          <w:sz w:val="28"/>
          <w:szCs w:val="28"/>
          <w:lang w:eastAsia="ru-RU"/>
        </w:rPr>
        <w:t>форми і змісту базового звіту та оцінки стану забруднення земель встановлені статтею 25 Закону.</w:t>
      </w:r>
    </w:p>
    <w:p w:rsidR="009D0C96" w:rsidRPr="009D0C96" w:rsidRDefault="009D0C96" w:rsidP="009D0C96">
      <w:pPr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0C96">
        <w:rPr>
          <w:rFonts w:ascii="Times New Roman" w:hAnsi="Times New Roman"/>
          <w:bCs/>
          <w:sz w:val="28"/>
          <w:szCs w:val="28"/>
          <w:lang w:eastAsia="ru-RU"/>
        </w:rPr>
        <w:t xml:space="preserve">Так, до базового звіту включається інформація, необхідна для визначення стану земель та підземних вод на момент складання звіту, з метою порівняння у кількісній формі стану, що передував видачі інтегрованого довкіллєвого </w:t>
      </w:r>
      <w:r w:rsidRPr="009D0C96">
        <w:rPr>
          <w:rFonts w:ascii="Times New Roman" w:hAnsi="Times New Roman"/>
          <w:bCs/>
          <w:sz w:val="28"/>
          <w:szCs w:val="28"/>
          <w:lang w:eastAsia="ru-RU"/>
        </w:rPr>
        <w:lastRenderedPageBreak/>
        <w:t>дозволу, та стану на момент припинення експлуатації установки та/або використання промислового майданчика чи його частини.</w:t>
      </w:r>
    </w:p>
    <w:p w:rsidR="00E13E91" w:rsidRPr="00BD3912" w:rsidRDefault="009D0C96" w:rsidP="009D0C96">
      <w:pPr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0C96">
        <w:rPr>
          <w:rFonts w:ascii="Times New Roman" w:hAnsi="Times New Roman"/>
          <w:bCs/>
          <w:sz w:val="28"/>
          <w:szCs w:val="28"/>
          <w:lang w:eastAsia="ru-RU"/>
        </w:rPr>
        <w:t>Поряд з цим більш детальні вимоги до форми і змісту базового звіту та оцінки стану забруднення земель та підземних вод</w:t>
      </w:r>
      <w:r w:rsidR="003C4EF9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155A73">
        <w:rPr>
          <w:rFonts w:ascii="Times New Roman" w:hAnsi="Times New Roman"/>
          <w:bCs/>
          <w:sz w:val="28"/>
          <w:szCs w:val="28"/>
          <w:lang w:eastAsia="ru-RU"/>
        </w:rPr>
        <w:t xml:space="preserve"> затверджуються даним наказом. </w:t>
      </w:r>
      <w:r w:rsidR="00BA5B63" w:rsidRPr="00BD3912">
        <w:rPr>
          <w:rFonts w:ascii="Times New Roman" w:hAnsi="Times New Roman"/>
          <w:bCs/>
          <w:sz w:val="28"/>
          <w:szCs w:val="28"/>
          <w:lang w:eastAsia="ru-RU"/>
        </w:rPr>
        <w:t>У зв'язку із цим, виникла необхідність розроблення проєкту регуляторного акта.</w:t>
      </w:r>
    </w:p>
    <w:p w:rsidR="007B5DA3" w:rsidRPr="005A75BC" w:rsidRDefault="00501354" w:rsidP="005A75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A75BC">
        <w:rPr>
          <w:rFonts w:ascii="Times New Roman" w:hAnsi="Times New Roman"/>
          <w:b/>
          <w:bCs/>
          <w:sz w:val="28"/>
          <w:szCs w:val="28"/>
        </w:rPr>
        <w:t>Основні групи (підгрупи), на які проблема справляє вплив: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843"/>
        <w:gridCol w:w="2126"/>
      </w:tblGrid>
      <w:tr w:rsidR="009A28A0" w:rsidRPr="004A25F1" w:rsidTr="004A25F1">
        <w:tc>
          <w:tcPr>
            <w:tcW w:w="5670" w:type="dxa"/>
          </w:tcPr>
          <w:p w:rsidR="00501354" w:rsidRPr="004A25F1" w:rsidRDefault="00774B06" w:rsidP="00BD39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25F1">
              <w:rPr>
                <w:rFonts w:ascii="Times New Roman" w:hAnsi="Times New Roman"/>
                <w:b/>
                <w:bCs/>
                <w:sz w:val="28"/>
                <w:szCs w:val="28"/>
              </w:rPr>
              <w:t>Групи (підгрупи)</w:t>
            </w:r>
          </w:p>
        </w:tc>
        <w:tc>
          <w:tcPr>
            <w:tcW w:w="1843" w:type="dxa"/>
          </w:tcPr>
          <w:p w:rsidR="00501354" w:rsidRPr="004A25F1" w:rsidRDefault="00774B06" w:rsidP="00BD39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25F1">
              <w:rPr>
                <w:rFonts w:ascii="Times New Roman" w:hAnsi="Times New Roman"/>
                <w:b/>
                <w:bCs/>
                <w:sz w:val="28"/>
                <w:szCs w:val="28"/>
              </w:rPr>
              <w:t>Так</w:t>
            </w:r>
          </w:p>
        </w:tc>
        <w:tc>
          <w:tcPr>
            <w:tcW w:w="2126" w:type="dxa"/>
          </w:tcPr>
          <w:p w:rsidR="00501354" w:rsidRPr="004A25F1" w:rsidRDefault="00774B06" w:rsidP="00BD39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25F1">
              <w:rPr>
                <w:rFonts w:ascii="Times New Roman" w:hAnsi="Times New Roman"/>
                <w:b/>
                <w:bCs/>
                <w:sz w:val="28"/>
                <w:szCs w:val="28"/>
              </w:rPr>
              <w:t>Ні</w:t>
            </w:r>
          </w:p>
        </w:tc>
      </w:tr>
      <w:tr w:rsidR="009A28A0" w:rsidRPr="004A25F1" w:rsidTr="004A25F1">
        <w:tc>
          <w:tcPr>
            <w:tcW w:w="5670" w:type="dxa"/>
          </w:tcPr>
          <w:p w:rsidR="00774B06" w:rsidRPr="004A25F1" w:rsidRDefault="00774B06" w:rsidP="00BD39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25F1">
              <w:rPr>
                <w:rFonts w:ascii="Times New Roman" w:hAnsi="Times New Roman"/>
                <w:sz w:val="28"/>
                <w:szCs w:val="28"/>
              </w:rPr>
              <w:t>Громадяни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B06" w:rsidRPr="004A25F1" w:rsidRDefault="00D17A26" w:rsidP="00BD39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5F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  <w:vAlign w:val="center"/>
          </w:tcPr>
          <w:p w:rsidR="00774B06" w:rsidRPr="004A25F1" w:rsidRDefault="004A25F1" w:rsidP="00BD3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91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9A28A0" w:rsidRPr="004A25F1" w:rsidTr="004A25F1">
        <w:tc>
          <w:tcPr>
            <w:tcW w:w="5670" w:type="dxa"/>
          </w:tcPr>
          <w:p w:rsidR="00774B06" w:rsidRPr="004A25F1" w:rsidRDefault="00774B06" w:rsidP="00BD39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25F1">
              <w:rPr>
                <w:rFonts w:ascii="Times New Roman" w:hAnsi="Times New Roman"/>
                <w:sz w:val="28"/>
                <w:szCs w:val="28"/>
              </w:rPr>
              <w:t>Держава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B06" w:rsidRPr="004A25F1" w:rsidRDefault="00774B06" w:rsidP="00BD39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5F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  <w:vAlign w:val="center"/>
          </w:tcPr>
          <w:p w:rsidR="00774B06" w:rsidRPr="004A25F1" w:rsidRDefault="004A25F1" w:rsidP="00BD3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91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9A28A0" w:rsidRPr="004A25F1" w:rsidTr="004A25F1">
        <w:tc>
          <w:tcPr>
            <w:tcW w:w="5670" w:type="dxa"/>
          </w:tcPr>
          <w:p w:rsidR="00774B06" w:rsidRPr="004A25F1" w:rsidRDefault="007E20C9" w:rsidP="00BD39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25F1">
              <w:rPr>
                <w:rFonts w:ascii="Times New Roman" w:hAnsi="Times New Roman"/>
                <w:sz w:val="28"/>
                <w:szCs w:val="28"/>
              </w:rPr>
              <w:t>Суб’єкти господарювання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B06" w:rsidRPr="004A25F1" w:rsidRDefault="00774B06" w:rsidP="00BD39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5F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  <w:vAlign w:val="center"/>
          </w:tcPr>
          <w:p w:rsidR="00774B06" w:rsidRPr="004A25F1" w:rsidRDefault="004A25F1" w:rsidP="00BD3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91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9A28A0" w:rsidRPr="004A25F1" w:rsidTr="004A25F1">
        <w:tc>
          <w:tcPr>
            <w:tcW w:w="5670" w:type="dxa"/>
          </w:tcPr>
          <w:p w:rsidR="00DE621B" w:rsidRPr="004A25F1" w:rsidRDefault="00DE621B" w:rsidP="00BD3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5F1">
              <w:rPr>
                <w:rFonts w:ascii="Times New Roman" w:hAnsi="Times New Roman"/>
                <w:sz w:val="28"/>
                <w:szCs w:val="28"/>
              </w:rPr>
              <w:t>у тому числі суб’єкти малого підприємництва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1B" w:rsidRPr="004A25F1" w:rsidRDefault="004A25F1" w:rsidP="00BD39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391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DE621B" w:rsidRPr="004A25F1" w:rsidRDefault="00DE621B" w:rsidP="00BD3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25F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774B06" w:rsidRPr="00BD3912" w:rsidRDefault="00774B06" w:rsidP="00BD39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3912">
        <w:rPr>
          <w:rFonts w:ascii="Times New Roman" w:hAnsi="Times New Roman"/>
          <w:bCs/>
          <w:sz w:val="28"/>
          <w:szCs w:val="28"/>
        </w:rPr>
        <w:t xml:space="preserve">Наразі проблема, яку пропонується врегулювати з прийняттям </w:t>
      </w:r>
      <w:r w:rsidR="002536AA" w:rsidRPr="00BD3912">
        <w:rPr>
          <w:rFonts w:ascii="Times New Roman" w:hAnsi="Times New Roman"/>
          <w:bCs/>
          <w:sz w:val="28"/>
          <w:szCs w:val="28"/>
        </w:rPr>
        <w:t>проєкту</w:t>
      </w:r>
      <w:r w:rsidR="00D8199D" w:rsidRPr="00BD3912">
        <w:rPr>
          <w:rFonts w:ascii="Times New Roman" w:hAnsi="Times New Roman"/>
          <w:bCs/>
          <w:sz w:val="28"/>
          <w:szCs w:val="28"/>
        </w:rPr>
        <w:t xml:space="preserve"> </w:t>
      </w:r>
      <w:r w:rsidR="009C6A5E" w:rsidRPr="00BD3912">
        <w:rPr>
          <w:rFonts w:ascii="Times New Roman" w:hAnsi="Times New Roman"/>
          <w:bCs/>
          <w:sz w:val="28"/>
          <w:szCs w:val="28"/>
        </w:rPr>
        <w:t>регуляторного акта</w:t>
      </w:r>
      <w:r w:rsidRPr="00BD3912">
        <w:rPr>
          <w:rFonts w:ascii="Times New Roman" w:hAnsi="Times New Roman"/>
          <w:bCs/>
          <w:sz w:val="28"/>
          <w:szCs w:val="28"/>
        </w:rPr>
        <w:t xml:space="preserve">, не може бути розв’язана за допомогою </w:t>
      </w:r>
      <w:r w:rsidR="009C6A5E" w:rsidRPr="00BD3912">
        <w:rPr>
          <w:rFonts w:ascii="Times New Roman" w:hAnsi="Times New Roman"/>
          <w:bCs/>
          <w:sz w:val="28"/>
          <w:szCs w:val="28"/>
        </w:rPr>
        <w:t>діюч</w:t>
      </w:r>
      <w:r w:rsidR="006A0010" w:rsidRPr="00BD3912">
        <w:rPr>
          <w:rFonts w:ascii="Times New Roman" w:hAnsi="Times New Roman"/>
          <w:bCs/>
          <w:sz w:val="28"/>
          <w:szCs w:val="28"/>
        </w:rPr>
        <w:t>ого законодавства</w:t>
      </w:r>
      <w:r w:rsidR="001765BD" w:rsidRPr="00BD3912">
        <w:rPr>
          <w:rFonts w:ascii="Times New Roman" w:hAnsi="Times New Roman"/>
          <w:bCs/>
          <w:sz w:val="28"/>
          <w:szCs w:val="28"/>
        </w:rPr>
        <w:t>.</w:t>
      </w:r>
    </w:p>
    <w:p w:rsidR="00EC073E" w:rsidRPr="00BD3912" w:rsidRDefault="00734270" w:rsidP="00BD391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D3912">
        <w:rPr>
          <w:rFonts w:ascii="Times New Roman" w:hAnsi="Times New Roman"/>
          <w:bCs/>
          <w:sz w:val="28"/>
          <w:szCs w:val="28"/>
        </w:rPr>
        <w:t>Проблема, яку пропонується врегулювати шляхом прийняття проєкту регуляторного акта, не може бути розв’язана за допомогою ринкових механізмів і діючих регуляторних актів, у зв’язку з відсутністю у законодавстві основних</w:t>
      </w:r>
      <w:r w:rsidRPr="00BD391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55D40" w:rsidRPr="00BD3912">
        <w:rPr>
          <w:rFonts w:ascii="Times New Roman" w:hAnsi="Times New Roman"/>
          <w:bCs/>
          <w:sz w:val="28"/>
          <w:szCs w:val="28"/>
          <w:lang w:eastAsia="ru-RU"/>
        </w:rPr>
        <w:t xml:space="preserve">деталізованих </w:t>
      </w:r>
      <w:r w:rsidRPr="00BD3912">
        <w:rPr>
          <w:rFonts w:ascii="Times New Roman" w:hAnsi="Times New Roman"/>
          <w:bCs/>
          <w:sz w:val="28"/>
          <w:szCs w:val="28"/>
          <w:lang w:eastAsia="ru-RU"/>
        </w:rPr>
        <w:t>вимог</w:t>
      </w:r>
      <w:r w:rsidR="00EC073E" w:rsidRPr="00BD3912">
        <w:rPr>
          <w:rFonts w:ascii="Times New Roman" w:hAnsi="Times New Roman"/>
          <w:bCs/>
          <w:sz w:val="28"/>
          <w:szCs w:val="28"/>
          <w:lang w:eastAsia="ru-RU"/>
        </w:rPr>
        <w:t xml:space="preserve"> до </w:t>
      </w:r>
      <w:r w:rsidR="00755D40" w:rsidRPr="00BD3912">
        <w:rPr>
          <w:rFonts w:ascii="Times New Roman" w:hAnsi="Times New Roman"/>
          <w:bCs/>
          <w:sz w:val="28"/>
          <w:szCs w:val="28"/>
          <w:lang w:eastAsia="ru-RU"/>
        </w:rPr>
        <w:t>форми та вимоги до змісту базового звіту, оцінки стану забруднення земель та підземних вод, а також методики оцінки стану забруднення земель та підземних вод</w:t>
      </w:r>
      <w:r w:rsidR="00EC073E" w:rsidRPr="00BD3912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755D40" w:rsidRPr="00BD3912">
        <w:rPr>
          <w:rFonts w:ascii="Times New Roman" w:hAnsi="Times New Roman"/>
          <w:bCs/>
          <w:sz w:val="28"/>
          <w:szCs w:val="28"/>
          <w:lang w:eastAsia="ru-RU"/>
        </w:rPr>
        <w:t xml:space="preserve">Затвердження форм і вимог до складання таких </w:t>
      </w:r>
      <w:r w:rsidR="00755D40" w:rsidRPr="00BD3912">
        <w:rPr>
          <w:rFonts w:ascii="Times New Roman" w:hAnsi="Times New Roman"/>
          <w:sz w:val="28"/>
          <w:szCs w:val="28"/>
        </w:rPr>
        <w:t xml:space="preserve">документів, що містять інформацію про стан забруднення земель та підземних вод </w:t>
      </w:r>
      <w:r w:rsidR="00155A73">
        <w:rPr>
          <w:rFonts w:ascii="Times New Roman" w:hAnsi="Times New Roman"/>
          <w:sz w:val="28"/>
          <w:szCs w:val="28"/>
        </w:rPr>
        <w:t>релевантними</w:t>
      </w:r>
      <w:r w:rsidR="00755D40" w:rsidRPr="00BD3912">
        <w:rPr>
          <w:rFonts w:ascii="Times New Roman" w:hAnsi="Times New Roman"/>
          <w:sz w:val="28"/>
          <w:szCs w:val="28"/>
        </w:rPr>
        <w:t xml:space="preserve"> небезпечними речовинами на момент подання документів для отримання інтегрованого довкіллєвого дозволу, так і на момент припинення експлуатації установки та/або використання промислового майданчика або </w:t>
      </w:r>
      <w:r w:rsidR="00285CBA" w:rsidRPr="00BD3912">
        <w:rPr>
          <w:rFonts w:ascii="Times New Roman" w:hAnsi="Times New Roman"/>
          <w:sz w:val="28"/>
          <w:szCs w:val="28"/>
        </w:rPr>
        <w:t>його частини</w:t>
      </w:r>
      <w:r w:rsidR="001B5E8A" w:rsidRPr="00BD3912">
        <w:rPr>
          <w:rFonts w:ascii="Times New Roman" w:hAnsi="Times New Roman"/>
          <w:sz w:val="28"/>
          <w:szCs w:val="28"/>
        </w:rPr>
        <w:t xml:space="preserve"> надасть змогу повноцінно </w:t>
      </w:r>
      <w:r w:rsidR="00755D40" w:rsidRPr="00BD3912">
        <w:rPr>
          <w:rFonts w:ascii="Times New Roman" w:hAnsi="Times New Roman"/>
          <w:sz w:val="28"/>
          <w:szCs w:val="28"/>
        </w:rPr>
        <w:t>визнач</w:t>
      </w:r>
      <w:r w:rsidR="005A75BC">
        <w:rPr>
          <w:rFonts w:ascii="Times New Roman" w:hAnsi="Times New Roman"/>
          <w:sz w:val="28"/>
          <w:szCs w:val="28"/>
        </w:rPr>
        <w:t>ити обсяг</w:t>
      </w:r>
      <w:r w:rsidR="00755D40" w:rsidRPr="00BD3912">
        <w:rPr>
          <w:rFonts w:ascii="Times New Roman" w:hAnsi="Times New Roman"/>
          <w:sz w:val="28"/>
          <w:szCs w:val="28"/>
        </w:rPr>
        <w:t xml:space="preserve"> обов’язків оператора установки із усунення забруднення, щоб повернути промисловий майданчик до стану, зазначеного в базовому звіті</w:t>
      </w:r>
      <w:r w:rsidR="009720EE">
        <w:rPr>
          <w:rFonts w:ascii="Times New Roman" w:hAnsi="Times New Roman"/>
          <w:sz w:val="28"/>
          <w:szCs w:val="28"/>
        </w:rPr>
        <w:t>.</w:t>
      </w:r>
    </w:p>
    <w:p w:rsidR="001B5E8A" w:rsidRPr="00BD3912" w:rsidRDefault="001B5E8A" w:rsidP="00BD391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6672" w:rsidRPr="005A75BC" w:rsidRDefault="00A12A5A" w:rsidP="005A75B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D3912">
        <w:rPr>
          <w:rFonts w:ascii="Times New Roman" w:hAnsi="Times New Roman"/>
          <w:b/>
          <w:bCs/>
          <w:sz w:val="28"/>
          <w:szCs w:val="28"/>
        </w:rPr>
        <w:t xml:space="preserve">ІІ. Цілі державного </w:t>
      </w:r>
      <w:r w:rsidR="00952979" w:rsidRPr="00BD3912">
        <w:rPr>
          <w:rFonts w:ascii="Times New Roman" w:hAnsi="Times New Roman"/>
          <w:b/>
          <w:bCs/>
          <w:sz w:val="28"/>
          <w:szCs w:val="28"/>
        </w:rPr>
        <w:t>регулювання</w:t>
      </w:r>
    </w:p>
    <w:p w:rsidR="00DE621B" w:rsidRPr="00BD3912" w:rsidRDefault="00526672" w:rsidP="005A75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3912">
        <w:rPr>
          <w:rFonts w:ascii="Times New Roman" w:hAnsi="Times New Roman"/>
          <w:sz w:val="28"/>
          <w:szCs w:val="28"/>
        </w:rPr>
        <w:t>Цілями державного регулювання є</w:t>
      </w:r>
      <w:r w:rsidR="00DE621B" w:rsidRPr="00BD3912">
        <w:rPr>
          <w:rFonts w:ascii="Times New Roman" w:hAnsi="Times New Roman"/>
          <w:sz w:val="28"/>
          <w:szCs w:val="28"/>
        </w:rPr>
        <w:t>:</w:t>
      </w:r>
    </w:p>
    <w:p w:rsidR="001B5E8A" w:rsidRPr="00155A73" w:rsidRDefault="001B5E8A" w:rsidP="00155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73">
        <w:rPr>
          <w:rFonts w:ascii="Times New Roman" w:hAnsi="Times New Roman"/>
          <w:sz w:val="28"/>
          <w:szCs w:val="28"/>
          <w:lang w:eastAsia="ru-RU"/>
        </w:rPr>
        <w:t>зменшення негативного впливу промисловості на довкілля;</w:t>
      </w:r>
    </w:p>
    <w:p w:rsidR="001B5E8A" w:rsidRPr="00155A73" w:rsidRDefault="001B5E8A" w:rsidP="00155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5A73">
        <w:rPr>
          <w:rFonts w:ascii="Times New Roman" w:hAnsi="Times New Roman"/>
          <w:sz w:val="28"/>
          <w:szCs w:val="28"/>
        </w:rPr>
        <w:t>нормативне врегулювання питань, пов’язаних з отриманням інтегрованого довкіллєвого дозволу;</w:t>
      </w:r>
    </w:p>
    <w:p w:rsidR="001B5E8A" w:rsidRPr="00155A73" w:rsidRDefault="001B5E8A" w:rsidP="00155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5A73">
        <w:rPr>
          <w:rFonts w:ascii="Times New Roman" w:hAnsi="Times New Roman"/>
          <w:sz w:val="28"/>
          <w:szCs w:val="28"/>
        </w:rPr>
        <w:t>контроль використання, вироблення або вивільнення небезпечних речовин в процесі діяльності суб’єктів господарювання;</w:t>
      </w:r>
    </w:p>
    <w:p w:rsidR="0084215A" w:rsidRPr="00155A73" w:rsidRDefault="001B5E8A" w:rsidP="00155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73">
        <w:rPr>
          <w:rFonts w:ascii="Times New Roman" w:hAnsi="Times New Roman"/>
          <w:sz w:val="28"/>
          <w:szCs w:val="28"/>
          <w:lang w:eastAsia="ru-RU"/>
        </w:rPr>
        <w:t>визначення обсягу обов’язків оператора установки із усунення забруднення</w:t>
      </w:r>
      <w:r w:rsidR="0084215A" w:rsidRPr="00155A73">
        <w:rPr>
          <w:rFonts w:ascii="Times New Roman" w:hAnsi="Times New Roman"/>
          <w:sz w:val="28"/>
          <w:szCs w:val="28"/>
          <w:lang w:eastAsia="ru-RU"/>
        </w:rPr>
        <w:t>;</w:t>
      </w:r>
    </w:p>
    <w:p w:rsidR="00155A73" w:rsidRDefault="001B5E8A" w:rsidP="00155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73">
        <w:rPr>
          <w:rFonts w:ascii="Times New Roman" w:hAnsi="Times New Roman"/>
          <w:color w:val="000000" w:themeColor="text1"/>
          <w:sz w:val="28"/>
          <w:szCs w:val="28"/>
        </w:rPr>
        <w:t xml:space="preserve">виявлення високого ризику забруднення земель </w:t>
      </w:r>
      <w:r w:rsidRPr="00155A7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та/або</w:t>
      </w:r>
      <w:r w:rsidRPr="00155A73">
        <w:rPr>
          <w:rFonts w:ascii="Times New Roman" w:hAnsi="Times New Roman"/>
          <w:color w:val="000000" w:themeColor="text1"/>
          <w:sz w:val="28"/>
          <w:szCs w:val="28"/>
        </w:rPr>
        <w:t xml:space="preserve"> підземних вод в межах промислового майданчика та своєчасного і належного контролю за такими ризиками;</w:t>
      </w:r>
    </w:p>
    <w:p w:rsidR="001B5E8A" w:rsidRPr="00155A73" w:rsidRDefault="001B5E8A" w:rsidP="00155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73">
        <w:rPr>
          <w:rFonts w:ascii="Times New Roman" w:hAnsi="Times New Roman"/>
          <w:sz w:val="28"/>
          <w:szCs w:val="28"/>
          <w:lang w:eastAsia="ru-RU"/>
        </w:rPr>
        <w:t>підвищенн</w:t>
      </w:r>
      <w:r w:rsidR="009720EE" w:rsidRPr="00155A73">
        <w:rPr>
          <w:rFonts w:ascii="Times New Roman" w:hAnsi="Times New Roman"/>
          <w:sz w:val="28"/>
          <w:szCs w:val="28"/>
          <w:lang w:eastAsia="ru-RU"/>
        </w:rPr>
        <w:t>я</w:t>
      </w:r>
      <w:r w:rsidRPr="00155A73">
        <w:rPr>
          <w:rFonts w:ascii="Times New Roman" w:hAnsi="Times New Roman"/>
          <w:sz w:val="28"/>
          <w:szCs w:val="28"/>
          <w:lang w:eastAsia="ru-RU"/>
        </w:rPr>
        <w:t xml:space="preserve"> екологічної безпеки виробничих процесів, зменшення</w:t>
      </w:r>
      <w:r w:rsidR="0084215A" w:rsidRPr="00155A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5A73">
        <w:rPr>
          <w:rFonts w:ascii="Times New Roman" w:hAnsi="Times New Roman"/>
          <w:sz w:val="28"/>
          <w:szCs w:val="28"/>
          <w:lang w:eastAsia="ru-RU"/>
        </w:rPr>
        <w:t>екологічних наслідків діяльності промисловості.</w:t>
      </w:r>
    </w:p>
    <w:p w:rsidR="00155A73" w:rsidRDefault="00155A73" w:rsidP="00BD391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2A5A" w:rsidRDefault="00A12A5A" w:rsidP="00497818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BD3912">
        <w:rPr>
          <w:rFonts w:ascii="Times New Roman" w:hAnsi="Times New Roman"/>
          <w:b/>
          <w:bCs/>
          <w:sz w:val="28"/>
          <w:szCs w:val="28"/>
        </w:rPr>
        <w:lastRenderedPageBreak/>
        <w:t>ІІІ. Визначення та оцінка альтернативних способів досягнення цілей</w:t>
      </w:r>
    </w:p>
    <w:p w:rsidR="00A12A5A" w:rsidRPr="004A25F1" w:rsidRDefault="00A12A5A" w:rsidP="00155A73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A25F1">
        <w:rPr>
          <w:rFonts w:ascii="Times New Roman" w:hAnsi="Times New Roman"/>
          <w:b/>
          <w:bCs/>
          <w:sz w:val="28"/>
          <w:szCs w:val="28"/>
        </w:rPr>
        <w:t>Визначення альтернативних способів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9A28A0" w:rsidRPr="00BD3912" w:rsidTr="001B7103">
        <w:tc>
          <w:tcPr>
            <w:tcW w:w="2660" w:type="dxa"/>
          </w:tcPr>
          <w:p w:rsidR="002B3FA7" w:rsidRPr="00BD3912" w:rsidRDefault="00606E86" w:rsidP="00BD391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912">
              <w:rPr>
                <w:rFonts w:ascii="Times New Roman" w:hAnsi="Times New Roman"/>
                <w:b/>
                <w:sz w:val="24"/>
                <w:szCs w:val="24"/>
              </w:rPr>
              <w:t>Вид альтернативи</w:t>
            </w:r>
          </w:p>
        </w:tc>
        <w:tc>
          <w:tcPr>
            <w:tcW w:w="7087" w:type="dxa"/>
          </w:tcPr>
          <w:p w:rsidR="002B3FA7" w:rsidRPr="00BD3912" w:rsidRDefault="001430DB" w:rsidP="00BD391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912">
              <w:rPr>
                <w:rFonts w:ascii="Times New Roman" w:hAnsi="Times New Roman"/>
                <w:b/>
                <w:sz w:val="24"/>
                <w:szCs w:val="24"/>
              </w:rPr>
              <w:t>Опис альтернативи</w:t>
            </w:r>
          </w:p>
        </w:tc>
      </w:tr>
      <w:tr w:rsidR="009A28A0" w:rsidRPr="00BD3912" w:rsidTr="001B7103">
        <w:tc>
          <w:tcPr>
            <w:tcW w:w="2660" w:type="dxa"/>
          </w:tcPr>
          <w:p w:rsidR="00A843D0" w:rsidRPr="001B7103" w:rsidRDefault="00A843D0" w:rsidP="00BD3912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103">
              <w:rPr>
                <w:rFonts w:ascii="Times New Roman" w:hAnsi="Times New Roman"/>
                <w:bCs/>
                <w:sz w:val="24"/>
                <w:szCs w:val="24"/>
              </w:rPr>
              <w:t>Альтернатива 1</w:t>
            </w:r>
            <w:r w:rsidR="004A25F1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48253E" w:rsidRPr="00BD3912" w:rsidRDefault="00DB32C1" w:rsidP="00BD3912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F06CE8" w:rsidRPr="00BD3912">
              <w:rPr>
                <w:rFonts w:ascii="Times New Roman" w:hAnsi="Times New Roman"/>
                <w:bCs/>
                <w:sz w:val="24"/>
                <w:szCs w:val="24"/>
              </w:rPr>
              <w:t>береження ситуації, яка існує на цей час</w:t>
            </w:r>
          </w:p>
        </w:tc>
        <w:tc>
          <w:tcPr>
            <w:tcW w:w="7087" w:type="dxa"/>
          </w:tcPr>
          <w:p w:rsidR="00EF2165" w:rsidRPr="00BD3912" w:rsidRDefault="00D438B6" w:rsidP="00BD3912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912">
              <w:rPr>
                <w:rFonts w:ascii="Times New Roman" w:hAnsi="Times New Roman"/>
                <w:sz w:val="24"/>
                <w:szCs w:val="24"/>
              </w:rPr>
              <w:t xml:space="preserve">Збереження </w:t>
            </w:r>
            <w:r w:rsidRPr="00BD3912">
              <w:rPr>
                <w:rFonts w:ascii="Times New Roman" w:hAnsi="Times New Roman"/>
                <w:bCs/>
                <w:sz w:val="24"/>
                <w:szCs w:val="24"/>
              </w:rPr>
              <w:t>ситуації, яка існує на цей час,</w:t>
            </w:r>
            <w:r w:rsidRPr="00BD3912">
              <w:rPr>
                <w:rFonts w:ascii="Times New Roman" w:hAnsi="Times New Roman"/>
                <w:sz w:val="24"/>
                <w:szCs w:val="24"/>
              </w:rPr>
              <w:t xml:space="preserve"> не вирішує проблеми, не забезпечує досягненн</w:t>
            </w:r>
            <w:r w:rsidR="00EF2165" w:rsidRPr="00BD3912">
              <w:rPr>
                <w:rFonts w:ascii="Times New Roman" w:hAnsi="Times New Roman"/>
                <w:sz w:val="24"/>
                <w:szCs w:val="24"/>
              </w:rPr>
              <w:t>я цілей державного регулювання та відповідно не сприятиме прийняттю ефективних управлінських рішень.</w:t>
            </w:r>
          </w:p>
          <w:p w:rsidR="00D438B6" w:rsidRPr="00BD3912" w:rsidRDefault="00855B31" w:rsidP="00BD3912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912">
              <w:rPr>
                <w:rFonts w:ascii="Times New Roman" w:hAnsi="Times New Roman"/>
                <w:sz w:val="24"/>
                <w:szCs w:val="24"/>
              </w:rPr>
              <w:t>Цей спосіб не може бути реалізовано, оскільки необхідність прийняття регуляторного акта визначено на законодавчому рівні.</w:t>
            </w:r>
          </w:p>
        </w:tc>
      </w:tr>
      <w:tr w:rsidR="009B0179" w:rsidRPr="00BD3912" w:rsidTr="001B7103">
        <w:trPr>
          <w:trHeight w:val="1454"/>
        </w:trPr>
        <w:tc>
          <w:tcPr>
            <w:tcW w:w="2660" w:type="dxa"/>
            <w:shd w:val="clear" w:color="auto" w:fill="auto"/>
          </w:tcPr>
          <w:p w:rsidR="009B0179" w:rsidRPr="001B7103" w:rsidRDefault="00CE4E6E" w:rsidP="00BD39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103">
              <w:rPr>
                <w:rFonts w:ascii="Times New Roman" w:hAnsi="Times New Roman"/>
                <w:sz w:val="24"/>
                <w:szCs w:val="24"/>
              </w:rPr>
              <w:t>Альтернатива 2</w:t>
            </w:r>
            <w:r w:rsidR="004A25F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D4639" w:rsidRPr="00BD3912" w:rsidRDefault="00DB32C1" w:rsidP="00BD391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D4639" w:rsidRPr="00BD3912">
              <w:rPr>
                <w:rFonts w:ascii="Times New Roman" w:hAnsi="Times New Roman"/>
                <w:sz w:val="24"/>
                <w:szCs w:val="24"/>
              </w:rPr>
              <w:t>рийняття проєкту регуляторного акта</w:t>
            </w:r>
          </w:p>
          <w:p w:rsidR="009B0179" w:rsidRPr="00BD3912" w:rsidRDefault="009B0179" w:rsidP="00BD39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243AE" w:rsidRPr="00BD3912" w:rsidRDefault="00EE27C9" w:rsidP="00BD39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912">
              <w:rPr>
                <w:rFonts w:ascii="Times New Roman" w:hAnsi="Times New Roman"/>
                <w:sz w:val="24"/>
                <w:szCs w:val="24"/>
              </w:rPr>
              <w:t>Прийняття регуляторного акта забезпечить виконання законодавчих вимог і встановить чіткі процедури та прозорі відносини для суб’єктів господарювання, державних органів та громадськості</w:t>
            </w:r>
            <w:r w:rsidR="00DD51AE" w:rsidRPr="00BD3912">
              <w:rPr>
                <w:rFonts w:ascii="Times New Roman" w:hAnsi="Times New Roman"/>
                <w:sz w:val="24"/>
                <w:szCs w:val="24"/>
              </w:rPr>
              <w:t xml:space="preserve"> як</w:t>
            </w:r>
            <w:r w:rsidRPr="00BD3912">
              <w:rPr>
                <w:rFonts w:ascii="Times New Roman" w:hAnsi="Times New Roman"/>
                <w:sz w:val="24"/>
                <w:szCs w:val="24"/>
              </w:rPr>
              <w:t xml:space="preserve"> у процесі видачі інтегрованого довкіллєвого дозволу</w:t>
            </w:r>
            <w:r w:rsidR="00DD51AE" w:rsidRPr="00BD3912">
              <w:rPr>
                <w:rFonts w:ascii="Times New Roman" w:hAnsi="Times New Roman"/>
                <w:sz w:val="24"/>
                <w:szCs w:val="24"/>
              </w:rPr>
              <w:t>), так і на момент припинення експлуатації установки та/або використання промислового майданчика або його частини, дозволить здійснювати контроль використання, вироблення або вивільнення небезпечних речовин в процесі діяльності суб’єктів господарювання.</w:t>
            </w:r>
          </w:p>
        </w:tc>
      </w:tr>
    </w:tbl>
    <w:p w:rsidR="00CC444A" w:rsidRPr="00BD3912" w:rsidRDefault="00CC444A" w:rsidP="00BD3912">
      <w:pPr>
        <w:tabs>
          <w:tab w:val="left" w:pos="1134"/>
        </w:tabs>
        <w:spacing w:after="0" w:line="24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</w:p>
    <w:p w:rsidR="00B827B6" w:rsidRPr="005A75BC" w:rsidRDefault="00EA030C" w:rsidP="00497818">
      <w:pPr>
        <w:pStyle w:val="ac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b/>
          <w:bCs/>
          <w:sz w:val="28"/>
          <w:szCs w:val="28"/>
        </w:rPr>
      </w:pPr>
      <w:r w:rsidRPr="005A75BC">
        <w:rPr>
          <w:rFonts w:ascii="Times New Roman" w:hAnsi="Times New Roman"/>
          <w:b/>
          <w:sz w:val="28"/>
          <w:szCs w:val="28"/>
          <w:shd w:val="clear" w:color="auto" w:fill="FFFFFF"/>
        </w:rPr>
        <w:t>Оцінка вибраних альтернативних способів досягнення цілей</w:t>
      </w:r>
    </w:p>
    <w:p w:rsidR="00307F39" w:rsidRPr="004A25F1" w:rsidRDefault="005E0E14" w:rsidP="005A75BC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A25F1">
        <w:rPr>
          <w:rFonts w:ascii="Times New Roman" w:hAnsi="Times New Roman"/>
          <w:b/>
          <w:sz w:val="28"/>
          <w:szCs w:val="28"/>
          <w:shd w:val="clear" w:color="auto" w:fill="FFFFFF"/>
        </w:rPr>
        <w:t>Оцінка впливу на сферу інтересів держави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10"/>
        <w:gridCol w:w="3402"/>
      </w:tblGrid>
      <w:tr w:rsidR="00571E78" w:rsidRPr="00BD3912" w:rsidTr="001B7103">
        <w:tc>
          <w:tcPr>
            <w:tcW w:w="2235" w:type="dxa"/>
          </w:tcPr>
          <w:p w:rsidR="00A176C9" w:rsidRPr="00BD3912" w:rsidRDefault="00A176C9" w:rsidP="00BD391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391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Вид альтернативи</w:t>
            </w:r>
          </w:p>
        </w:tc>
        <w:tc>
          <w:tcPr>
            <w:tcW w:w="4110" w:type="dxa"/>
          </w:tcPr>
          <w:p w:rsidR="00A176C9" w:rsidRPr="00BD3912" w:rsidRDefault="00A176C9" w:rsidP="00BD391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391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Вигоди</w:t>
            </w:r>
          </w:p>
        </w:tc>
        <w:tc>
          <w:tcPr>
            <w:tcW w:w="3402" w:type="dxa"/>
          </w:tcPr>
          <w:p w:rsidR="00A176C9" w:rsidRPr="00BD3912" w:rsidRDefault="00A176C9" w:rsidP="00BD391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391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Витрати</w:t>
            </w:r>
          </w:p>
        </w:tc>
      </w:tr>
      <w:tr w:rsidR="00571E78" w:rsidRPr="00BD3912" w:rsidTr="001B7103">
        <w:tc>
          <w:tcPr>
            <w:tcW w:w="2235" w:type="dxa"/>
          </w:tcPr>
          <w:p w:rsidR="00DD4639" w:rsidRPr="005A060D" w:rsidRDefault="00DD4639" w:rsidP="00BD3912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060D">
              <w:rPr>
                <w:rFonts w:ascii="Times New Roman" w:hAnsi="Times New Roman"/>
                <w:bCs/>
                <w:sz w:val="24"/>
                <w:szCs w:val="24"/>
              </w:rPr>
              <w:t>Альтернатива 1</w:t>
            </w:r>
            <w:r w:rsidR="004A25F1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DD4639" w:rsidRPr="00BD3912" w:rsidRDefault="005A060D" w:rsidP="00BD3912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DD4639" w:rsidRPr="00BD3912">
              <w:rPr>
                <w:rFonts w:ascii="Times New Roman" w:hAnsi="Times New Roman"/>
                <w:bCs/>
                <w:sz w:val="24"/>
                <w:szCs w:val="24"/>
              </w:rPr>
              <w:t>береження ситуації, яка існує на цей час</w:t>
            </w:r>
          </w:p>
        </w:tc>
        <w:tc>
          <w:tcPr>
            <w:tcW w:w="4110" w:type="dxa"/>
          </w:tcPr>
          <w:p w:rsidR="00546B8A" w:rsidRPr="00BD3912" w:rsidRDefault="00546B8A" w:rsidP="00BD3912">
            <w:pPr>
              <w:spacing w:before="120" w:after="0" w:line="240" w:lineRule="auto"/>
              <w:ind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Відсутні, оскільки не досягнуті цілі державного регулювання.</w:t>
            </w:r>
          </w:p>
          <w:p w:rsidR="00FA2992" w:rsidRPr="00BD3912" w:rsidRDefault="00FA2992" w:rsidP="00BD3912">
            <w:pPr>
              <w:spacing w:before="120" w:after="0" w:line="240" w:lineRule="auto"/>
              <w:ind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Має місце правова неврегульованість та невиконання вимог Закону.</w:t>
            </w:r>
          </w:p>
          <w:p w:rsidR="00546B8A" w:rsidRPr="00BD3912" w:rsidRDefault="00094544" w:rsidP="00BD3912">
            <w:pPr>
              <w:spacing w:before="120" w:after="0" w:line="240" w:lineRule="auto"/>
              <w:ind w:right="142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912">
              <w:rPr>
                <w:rFonts w:ascii="Times New Roman" w:hAnsi="Times New Roman"/>
                <w:sz w:val="24"/>
                <w:szCs w:val="24"/>
              </w:rPr>
              <w:t>При збереженні правового регулювання, яке існує сьогодні, проблема не розв’язується, оскільки буде відсутньою можливість здійснення належного контролю за  використанням, виробленням або вивільненням небезпечних речовин в процесі діяльності суб’єктів господарювання.</w:t>
            </w:r>
          </w:p>
        </w:tc>
        <w:tc>
          <w:tcPr>
            <w:tcW w:w="3402" w:type="dxa"/>
          </w:tcPr>
          <w:p w:rsidR="00DD4639" w:rsidRPr="00BD3912" w:rsidRDefault="00094544" w:rsidP="00BD3912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912">
              <w:rPr>
                <w:rFonts w:ascii="Times New Roman" w:hAnsi="Times New Roman"/>
                <w:sz w:val="24"/>
                <w:szCs w:val="24"/>
              </w:rPr>
              <w:t>Відсутні</w:t>
            </w:r>
          </w:p>
        </w:tc>
      </w:tr>
      <w:tr w:rsidR="00571E78" w:rsidRPr="00BD3912" w:rsidTr="001B7103">
        <w:trPr>
          <w:trHeight w:val="2237"/>
        </w:trPr>
        <w:tc>
          <w:tcPr>
            <w:tcW w:w="2235" w:type="dxa"/>
          </w:tcPr>
          <w:p w:rsidR="006A0010" w:rsidRPr="005A060D" w:rsidRDefault="006A0010" w:rsidP="00BD3912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060D">
              <w:rPr>
                <w:rFonts w:ascii="Times New Roman" w:hAnsi="Times New Roman"/>
                <w:bCs/>
                <w:sz w:val="24"/>
                <w:szCs w:val="24"/>
              </w:rPr>
              <w:t>Альтернатива 2</w:t>
            </w:r>
            <w:r w:rsidR="004A25F1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6A0010" w:rsidRPr="00BD3912" w:rsidRDefault="005A060D" w:rsidP="00BD39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6A0010"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рийняття проєкту регуляторного акта</w:t>
            </w:r>
          </w:p>
          <w:p w:rsidR="006A0010" w:rsidRPr="00BD3912" w:rsidRDefault="006A0010" w:rsidP="00BD3912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A2992" w:rsidRPr="00BD3912" w:rsidRDefault="006A0010" w:rsidP="00BD3912">
            <w:pPr>
              <w:spacing w:before="120" w:after="0" w:line="240" w:lineRule="auto"/>
              <w:ind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bCs/>
                <w:sz w:val="24"/>
                <w:szCs w:val="24"/>
              </w:rPr>
              <w:t>Вигоди високі, оскільки прийн</w:t>
            </w:r>
            <w:r w:rsidR="00FA2992" w:rsidRPr="00BD3912">
              <w:rPr>
                <w:rFonts w:ascii="Times New Roman" w:hAnsi="Times New Roman"/>
                <w:bCs/>
                <w:sz w:val="24"/>
                <w:szCs w:val="24"/>
              </w:rPr>
              <w:t xml:space="preserve">яття проєкту регуляторного акта забезпечить виконання вимог Закону у частині </w:t>
            </w:r>
            <w:r w:rsidR="00094544" w:rsidRPr="00BD3912">
              <w:rPr>
                <w:rFonts w:ascii="Times New Roman" w:hAnsi="Times New Roman"/>
                <w:sz w:val="24"/>
                <w:szCs w:val="24"/>
              </w:rPr>
              <w:t>здійснення належного контролю за  використанням, виробленням або вивільненням небезпечних речовин в процесі діяльності суб’єктів господарювання</w:t>
            </w:r>
          </w:p>
        </w:tc>
        <w:tc>
          <w:tcPr>
            <w:tcW w:w="3402" w:type="dxa"/>
          </w:tcPr>
          <w:p w:rsidR="00FA2992" w:rsidRPr="00BD3912" w:rsidRDefault="00FA2992" w:rsidP="00BD3912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912">
              <w:rPr>
                <w:rFonts w:ascii="Times New Roman" w:hAnsi="Times New Roman"/>
                <w:sz w:val="24"/>
                <w:szCs w:val="24"/>
              </w:rPr>
              <w:t xml:space="preserve">Відсутні, оскільки реалізація проєкту регуляторного акта не потребує додаткових видатків з державного чи місцевих бюджетів та буде здійснюватися у межах передбачених видатків. </w:t>
            </w:r>
          </w:p>
        </w:tc>
      </w:tr>
    </w:tbl>
    <w:p w:rsidR="00CC444A" w:rsidRPr="00BD3912" w:rsidRDefault="00CC444A" w:rsidP="00BD3912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151BA" w:rsidRPr="004A25F1" w:rsidRDefault="00977520" w:rsidP="005A75BC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A25F1">
        <w:rPr>
          <w:rFonts w:ascii="Times New Roman" w:hAnsi="Times New Roman"/>
          <w:b/>
          <w:sz w:val="28"/>
          <w:szCs w:val="28"/>
          <w:shd w:val="clear" w:color="auto" w:fill="FFFFFF"/>
        </w:rPr>
        <w:t>Оцінка впливу на сферу інтересів громадян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677"/>
        <w:gridCol w:w="2835"/>
      </w:tblGrid>
      <w:tr w:rsidR="009A28A0" w:rsidRPr="00BD3912" w:rsidTr="001B7103">
        <w:tc>
          <w:tcPr>
            <w:tcW w:w="2235" w:type="dxa"/>
          </w:tcPr>
          <w:p w:rsidR="009462E7" w:rsidRPr="00BD3912" w:rsidRDefault="009462E7" w:rsidP="00BD391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391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Вид альтернативи</w:t>
            </w:r>
          </w:p>
        </w:tc>
        <w:tc>
          <w:tcPr>
            <w:tcW w:w="4677" w:type="dxa"/>
          </w:tcPr>
          <w:p w:rsidR="009462E7" w:rsidRPr="00BD3912" w:rsidRDefault="009462E7" w:rsidP="00BD391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391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Вигоди</w:t>
            </w:r>
          </w:p>
        </w:tc>
        <w:tc>
          <w:tcPr>
            <w:tcW w:w="2835" w:type="dxa"/>
          </w:tcPr>
          <w:p w:rsidR="009462E7" w:rsidRPr="00BD3912" w:rsidRDefault="009462E7" w:rsidP="00BD391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391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Витрати</w:t>
            </w:r>
          </w:p>
        </w:tc>
      </w:tr>
      <w:tr w:rsidR="009A28A0" w:rsidRPr="00BD3912" w:rsidTr="001B7103">
        <w:tc>
          <w:tcPr>
            <w:tcW w:w="2235" w:type="dxa"/>
          </w:tcPr>
          <w:p w:rsidR="006E190B" w:rsidRPr="001B7103" w:rsidRDefault="001B7103" w:rsidP="00BD3912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Альтернатива 1</w:t>
            </w:r>
            <w:r w:rsidR="004A25F1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6E190B" w:rsidRPr="00BD3912" w:rsidRDefault="005A060D" w:rsidP="00BD3912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6E190B" w:rsidRPr="00BD3912">
              <w:rPr>
                <w:rFonts w:ascii="Times New Roman" w:hAnsi="Times New Roman"/>
                <w:bCs/>
                <w:sz w:val="24"/>
                <w:szCs w:val="24"/>
              </w:rPr>
              <w:t>береження ситуації, яка існує на цей час</w:t>
            </w:r>
          </w:p>
        </w:tc>
        <w:tc>
          <w:tcPr>
            <w:tcW w:w="4677" w:type="dxa"/>
          </w:tcPr>
          <w:p w:rsidR="006E190B" w:rsidRPr="00BD3912" w:rsidRDefault="006E190B" w:rsidP="00BD3912">
            <w:pPr>
              <w:spacing w:before="120" w:after="0" w:line="240" w:lineRule="auto"/>
              <w:ind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Вигоди відсутні.</w:t>
            </w:r>
          </w:p>
          <w:p w:rsidR="006E190B" w:rsidRPr="00BD3912" w:rsidRDefault="006E190B" w:rsidP="00BD3912">
            <w:pPr>
              <w:spacing w:before="120" w:after="0" w:line="240" w:lineRule="auto"/>
              <w:ind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Проблема залишається не вирішеною.</w:t>
            </w:r>
          </w:p>
          <w:p w:rsidR="006E190B" w:rsidRPr="00BD3912" w:rsidRDefault="00A86C25" w:rsidP="00BD3912">
            <w:pPr>
              <w:spacing w:before="120" w:after="0" w:line="240" w:lineRule="auto"/>
              <w:ind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Має місце в</w:t>
            </w:r>
            <w:r w:rsidRPr="00BD3912">
              <w:rPr>
                <w:rFonts w:ascii="Times New Roman" w:hAnsi="Times New Roman"/>
                <w:bCs/>
                <w:sz w:val="24"/>
                <w:szCs w:val="24"/>
              </w:rPr>
              <w:t xml:space="preserve">ідсутність </w:t>
            </w:r>
            <w:r w:rsidR="00094544" w:rsidRPr="00BD3912">
              <w:rPr>
                <w:rFonts w:ascii="Times New Roman" w:hAnsi="Times New Roman"/>
                <w:sz w:val="24"/>
                <w:szCs w:val="24"/>
              </w:rPr>
              <w:t xml:space="preserve">належного контролю за  використанням, </w:t>
            </w:r>
            <w:r w:rsidR="00094544" w:rsidRPr="00BD3912">
              <w:rPr>
                <w:rFonts w:ascii="Times New Roman" w:hAnsi="Times New Roman"/>
                <w:sz w:val="24"/>
                <w:szCs w:val="24"/>
              </w:rPr>
              <w:lastRenderedPageBreak/>
              <w:t>виробленням або вивільненням небезпечних речовин в процесі діяльності суб’єктів господарювання</w:t>
            </w:r>
            <w:r w:rsidR="00094544"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о</w:t>
            </w:r>
            <w:r w:rsidR="006E190B"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бмеження прав громадськості у </w:t>
            </w:r>
            <w:r w:rsidR="00094544"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захисті їх прав на  безпечне навколишнє середовище.</w:t>
            </w:r>
          </w:p>
        </w:tc>
        <w:tc>
          <w:tcPr>
            <w:tcW w:w="2835" w:type="dxa"/>
          </w:tcPr>
          <w:p w:rsidR="006E190B" w:rsidRPr="00BD3912" w:rsidRDefault="002B0918" w:rsidP="00BD3912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Calibri" w:hAnsi="Times New Roman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Витрати відсутні</w:t>
            </w:r>
          </w:p>
        </w:tc>
      </w:tr>
      <w:tr w:rsidR="006E190B" w:rsidRPr="00BD3912" w:rsidTr="001B7103">
        <w:trPr>
          <w:trHeight w:val="2237"/>
        </w:trPr>
        <w:tc>
          <w:tcPr>
            <w:tcW w:w="2235" w:type="dxa"/>
          </w:tcPr>
          <w:p w:rsidR="006E190B" w:rsidRPr="001B7103" w:rsidRDefault="001B7103" w:rsidP="00BD3912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10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Альтернатива 2</w:t>
            </w:r>
          </w:p>
          <w:p w:rsidR="006E190B" w:rsidRPr="00BD3912" w:rsidRDefault="00E273F7" w:rsidP="00BD39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6E190B"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рийняття проєкту регуляторного акта</w:t>
            </w:r>
          </w:p>
          <w:p w:rsidR="006E190B" w:rsidRPr="00BD3912" w:rsidRDefault="006E190B" w:rsidP="00BD3912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094544" w:rsidRPr="00BD3912" w:rsidRDefault="006E190B" w:rsidP="00BD3912">
            <w:pPr>
              <w:spacing w:before="120" w:after="0" w:line="240" w:lineRule="auto"/>
              <w:ind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Грома</w:t>
            </w:r>
            <w:r w:rsidR="001448F4"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дськість</w:t>
            </w: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</w:t>
            </w:r>
            <w:r w:rsidR="00094544"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тиме </w:t>
            </w: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4544"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впевненість у здійсненні </w:t>
            </w:r>
            <w:r w:rsidR="00094544" w:rsidRPr="00BD3912">
              <w:rPr>
                <w:rFonts w:ascii="Times New Roman" w:hAnsi="Times New Roman"/>
                <w:sz w:val="24"/>
                <w:szCs w:val="24"/>
              </w:rPr>
              <w:t>контролю за  використанням, виробленням або вивільненням небезпечних речовин в процесі діяльності суб’єктів господарювання</w:t>
            </w:r>
            <w:r w:rsidR="00094544"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. Визначення обсягу обов’язків оператора установки із усунення забруднення означатиме більш безпечне екологічне середовище для громадськості.</w:t>
            </w:r>
          </w:p>
          <w:p w:rsidR="006E190B" w:rsidRPr="00BD3912" w:rsidRDefault="001448F4" w:rsidP="00BD3912">
            <w:pPr>
              <w:spacing w:before="120" w:after="0" w:line="240" w:lineRule="auto"/>
              <w:ind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Забезпечується захист конституційних прав громадськості на безпечне довкілля </w:t>
            </w:r>
            <w:r w:rsidR="00094544"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мінімізації</w:t>
            </w: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впливу об’єктів промислового забруднення на довкілля.</w:t>
            </w:r>
          </w:p>
        </w:tc>
        <w:tc>
          <w:tcPr>
            <w:tcW w:w="2835" w:type="dxa"/>
          </w:tcPr>
          <w:p w:rsidR="006E190B" w:rsidRPr="00BD3912" w:rsidRDefault="002B0918" w:rsidP="00BD3912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Витрати відсутні</w:t>
            </w:r>
          </w:p>
        </w:tc>
      </w:tr>
    </w:tbl>
    <w:p w:rsidR="001B7103" w:rsidRDefault="001B7103" w:rsidP="005A75BC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46B79" w:rsidRPr="004A25F1" w:rsidRDefault="00446B79" w:rsidP="005A75BC">
      <w:pPr>
        <w:pStyle w:val="rvps2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4A25F1">
        <w:rPr>
          <w:b/>
          <w:sz w:val="28"/>
          <w:szCs w:val="28"/>
        </w:rPr>
        <w:t>Оцінка впливу на сферу інтересів суб’єктів господарювання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1417"/>
        <w:gridCol w:w="1276"/>
        <w:gridCol w:w="1276"/>
      </w:tblGrid>
      <w:tr w:rsidR="009A28A0" w:rsidRPr="00BD3912" w:rsidTr="001B7103">
        <w:tc>
          <w:tcPr>
            <w:tcW w:w="4219" w:type="dxa"/>
          </w:tcPr>
          <w:p w:rsidR="00792896" w:rsidRPr="00BD3912" w:rsidRDefault="00792896" w:rsidP="00BD391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391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Показник</w:t>
            </w:r>
          </w:p>
        </w:tc>
        <w:tc>
          <w:tcPr>
            <w:tcW w:w="1559" w:type="dxa"/>
          </w:tcPr>
          <w:p w:rsidR="00792896" w:rsidRPr="00BD3912" w:rsidRDefault="00792896" w:rsidP="00BD391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391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Великі</w:t>
            </w:r>
          </w:p>
        </w:tc>
        <w:tc>
          <w:tcPr>
            <w:tcW w:w="1417" w:type="dxa"/>
          </w:tcPr>
          <w:p w:rsidR="00792896" w:rsidRPr="00BD3912" w:rsidRDefault="00792896" w:rsidP="00BD391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391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Середні</w:t>
            </w:r>
          </w:p>
        </w:tc>
        <w:tc>
          <w:tcPr>
            <w:tcW w:w="1276" w:type="dxa"/>
          </w:tcPr>
          <w:p w:rsidR="00792896" w:rsidRPr="00BD3912" w:rsidRDefault="00792896" w:rsidP="00BD391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391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Малі та Мікро</w:t>
            </w:r>
          </w:p>
        </w:tc>
        <w:tc>
          <w:tcPr>
            <w:tcW w:w="1276" w:type="dxa"/>
          </w:tcPr>
          <w:p w:rsidR="00792896" w:rsidRPr="00BD3912" w:rsidRDefault="00792896" w:rsidP="00BD391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391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Разом</w:t>
            </w:r>
          </w:p>
        </w:tc>
      </w:tr>
      <w:tr w:rsidR="009D36B0" w:rsidRPr="00BD3912" w:rsidTr="001B7103">
        <w:tc>
          <w:tcPr>
            <w:tcW w:w="4219" w:type="dxa"/>
          </w:tcPr>
          <w:p w:rsidR="009D36B0" w:rsidRPr="00BD3912" w:rsidRDefault="009D36B0" w:rsidP="009D3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912">
              <w:rPr>
                <w:rFonts w:ascii="Times New Roman" w:hAnsi="Times New Roman"/>
                <w:sz w:val="24"/>
                <w:szCs w:val="24"/>
              </w:rPr>
              <w:t>Кількість суб’єктів господарювання, що підпадають під дію регулювання, одиниць*</w:t>
            </w:r>
          </w:p>
        </w:tc>
        <w:tc>
          <w:tcPr>
            <w:tcW w:w="1559" w:type="dxa"/>
            <w:vAlign w:val="center"/>
          </w:tcPr>
          <w:p w:rsidR="009D36B0" w:rsidRPr="009D36B0" w:rsidRDefault="009D36B0" w:rsidP="009D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6B0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17" w:type="dxa"/>
            <w:vAlign w:val="center"/>
          </w:tcPr>
          <w:p w:rsidR="009D36B0" w:rsidRPr="009D36B0" w:rsidRDefault="009D36B0" w:rsidP="009D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6B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vAlign w:val="center"/>
          </w:tcPr>
          <w:p w:rsidR="009D36B0" w:rsidRPr="00BD3912" w:rsidRDefault="009D36B0" w:rsidP="009D36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91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9D36B0" w:rsidRPr="00BD3912" w:rsidRDefault="009D36B0" w:rsidP="009D36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912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9D36B0" w:rsidRPr="00BD3912" w:rsidTr="001B7103">
        <w:tc>
          <w:tcPr>
            <w:tcW w:w="4219" w:type="dxa"/>
          </w:tcPr>
          <w:p w:rsidR="009D36B0" w:rsidRPr="00BD3912" w:rsidRDefault="009D36B0" w:rsidP="009D3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912">
              <w:rPr>
                <w:rFonts w:ascii="Times New Roman" w:hAnsi="Times New Roman"/>
                <w:sz w:val="24"/>
                <w:szCs w:val="24"/>
              </w:rPr>
              <w:t>Питома вага групи у загальній кількості, відсотків</w:t>
            </w:r>
          </w:p>
        </w:tc>
        <w:tc>
          <w:tcPr>
            <w:tcW w:w="1559" w:type="dxa"/>
            <w:vAlign w:val="center"/>
          </w:tcPr>
          <w:p w:rsidR="009D36B0" w:rsidRPr="009D36B0" w:rsidRDefault="009D36B0" w:rsidP="009D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6B0">
              <w:rPr>
                <w:rFonts w:ascii="Times New Roman" w:hAnsi="Times New Roman"/>
                <w:sz w:val="24"/>
                <w:szCs w:val="24"/>
              </w:rPr>
              <w:t xml:space="preserve">85,7% </w:t>
            </w:r>
          </w:p>
        </w:tc>
        <w:tc>
          <w:tcPr>
            <w:tcW w:w="1417" w:type="dxa"/>
            <w:vAlign w:val="center"/>
          </w:tcPr>
          <w:p w:rsidR="009D36B0" w:rsidRPr="009D36B0" w:rsidRDefault="009D36B0" w:rsidP="009D3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6B0">
              <w:rPr>
                <w:rFonts w:ascii="Times New Roman" w:hAnsi="Times New Roman"/>
                <w:sz w:val="24"/>
                <w:szCs w:val="24"/>
              </w:rPr>
              <w:t>14,3%</w:t>
            </w:r>
          </w:p>
        </w:tc>
        <w:tc>
          <w:tcPr>
            <w:tcW w:w="1276" w:type="dxa"/>
            <w:vAlign w:val="center"/>
          </w:tcPr>
          <w:p w:rsidR="009D36B0" w:rsidRPr="00BD3912" w:rsidRDefault="009D36B0" w:rsidP="009D36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91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9D36B0" w:rsidRPr="00BD3912" w:rsidRDefault="009D36B0" w:rsidP="009D36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9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B57BF" w:rsidRPr="00663C5C" w:rsidRDefault="00CC444A" w:rsidP="00663C5C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63C5C">
        <w:rPr>
          <w:rFonts w:ascii="Times New Roman" w:hAnsi="Times New Roman"/>
          <w:sz w:val="20"/>
          <w:szCs w:val="20"/>
        </w:rPr>
        <w:t>*Примітка: показники кількості суб’єктів господарювання, що підпадають під дію регулювання</w:t>
      </w:r>
      <w:r w:rsidR="00E53C0F">
        <w:rPr>
          <w:rFonts w:ascii="Times New Roman" w:hAnsi="Times New Roman"/>
          <w:sz w:val="20"/>
          <w:szCs w:val="20"/>
        </w:rPr>
        <w:t xml:space="preserve"> є орієнтовними</w:t>
      </w:r>
      <w:r w:rsidRPr="00663C5C">
        <w:rPr>
          <w:rFonts w:ascii="Times New Roman" w:hAnsi="Times New Roman"/>
          <w:sz w:val="20"/>
          <w:szCs w:val="20"/>
        </w:rPr>
        <w:t xml:space="preserve">, отримані із даних Міндовкілля щодо кількості суб’єктів господарювання, </w:t>
      </w:r>
      <w:r w:rsidR="00246CA1" w:rsidRPr="00663C5C">
        <w:rPr>
          <w:rFonts w:ascii="Times New Roman" w:hAnsi="Times New Roman"/>
          <w:sz w:val="20"/>
          <w:szCs w:val="20"/>
        </w:rPr>
        <w:t>прогнозована кількість суб’єктів господарювання, на яких поширюються норми про видачу інтегрованого довкіллєвого дозволу.</w:t>
      </w:r>
    </w:p>
    <w:p w:rsidR="00663C5C" w:rsidRDefault="00663C5C" w:rsidP="00BD3912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41A9" w:rsidRPr="00BD3912" w:rsidRDefault="00DF1245" w:rsidP="005A75BC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3912">
        <w:rPr>
          <w:rFonts w:ascii="Times New Roman" w:hAnsi="Times New Roman"/>
          <w:sz w:val="28"/>
          <w:szCs w:val="28"/>
        </w:rPr>
        <w:t xml:space="preserve">Однак, потрібно враховувати, що </w:t>
      </w:r>
      <w:proofErr w:type="spellStart"/>
      <w:r w:rsidRPr="00BD3912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BD3912">
        <w:rPr>
          <w:rFonts w:ascii="Times New Roman" w:hAnsi="Times New Roman"/>
          <w:sz w:val="28"/>
          <w:szCs w:val="28"/>
        </w:rPr>
        <w:t xml:space="preserve"> регуляторного акта визначено, що </w:t>
      </w:r>
      <w:r w:rsidR="003C41A9" w:rsidRPr="00BD3912">
        <w:rPr>
          <w:rFonts w:ascii="Times New Roman" w:hAnsi="Times New Roman"/>
          <w:sz w:val="28"/>
          <w:szCs w:val="28"/>
        </w:rPr>
        <w:t>складання базового звіту не вимагається у таких випадках:</w:t>
      </w:r>
    </w:p>
    <w:p w:rsidR="003C41A9" w:rsidRPr="00BD3912" w:rsidRDefault="003C41A9" w:rsidP="005A75BC">
      <w:pPr>
        <w:tabs>
          <w:tab w:val="left" w:pos="993"/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3912">
        <w:rPr>
          <w:rFonts w:ascii="Times New Roman" w:hAnsi="Times New Roman"/>
          <w:sz w:val="28"/>
          <w:szCs w:val="28"/>
        </w:rPr>
        <w:t>діяльність установки не включатиме в себе використання, вироблення або вивільнення небезпечних речовин;</w:t>
      </w:r>
    </w:p>
    <w:p w:rsidR="003C41A9" w:rsidRPr="00BD3912" w:rsidRDefault="003C41A9" w:rsidP="005A75BC">
      <w:pPr>
        <w:tabs>
          <w:tab w:val="left" w:pos="851"/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3912">
        <w:rPr>
          <w:rFonts w:ascii="Times New Roman" w:hAnsi="Times New Roman"/>
          <w:sz w:val="28"/>
          <w:szCs w:val="28"/>
        </w:rPr>
        <w:t>небезпечні речовини, які використовуватимуться, вироблятимуться або вивільнятимуться установкою, не здатні спричинити забруднення земель та/або підземних вод;</w:t>
      </w:r>
    </w:p>
    <w:p w:rsidR="003C41A9" w:rsidRPr="00BD3912" w:rsidRDefault="00155A73" w:rsidP="005A75BC">
      <w:pPr>
        <w:tabs>
          <w:tab w:val="left" w:pos="851"/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релевантні</w:t>
      </w:r>
      <w:r w:rsidR="003C41A9" w:rsidRPr="00BD3912">
        <w:rPr>
          <w:rFonts w:ascii="Times New Roman" w:hAnsi="Times New Roman"/>
          <w:sz w:val="28"/>
          <w:szCs w:val="28"/>
        </w:rPr>
        <w:t xml:space="preserve"> небезпечні речовини не становлять високого ризику забруднення земель та/або підземних вод в межах промислового майданчика.</w:t>
      </w:r>
    </w:p>
    <w:p w:rsidR="00DF1245" w:rsidRPr="00BD3912" w:rsidRDefault="000C1539" w:rsidP="005A75BC">
      <w:pPr>
        <w:pStyle w:val="rvps2"/>
        <w:spacing w:before="0" w:beforeAutospacing="0" w:after="0" w:afterAutospacing="0"/>
        <w:ind w:firstLine="567"/>
        <w:jc w:val="both"/>
        <w:rPr>
          <w:rStyle w:val="ae"/>
          <w:color w:val="auto"/>
          <w:sz w:val="28"/>
          <w:szCs w:val="28"/>
          <w:u w:val="none"/>
        </w:rPr>
      </w:pPr>
      <w:r w:rsidRPr="00BD3912">
        <w:rPr>
          <w:sz w:val="28"/>
          <w:szCs w:val="28"/>
        </w:rPr>
        <w:t>Таким чином, достеменно</w:t>
      </w:r>
      <w:r w:rsidR="003C41A9" w:rsidRPr="00BD3912">
        <w:rPr>
          <w:sz w:val="28"/>
          <w:szCs w:val="28"/>
        </w:rPr>
        <w:t xml:space="preserve"> встановити фактичну кількість суб’єктів господарювання</w:t>
      </w:r>
      <w:r w:rsidRPr="00BD3912">
        <w:rPr>
          <w:sz w:val="28"/>
          <w:szCs w:val="28"/>
        </w:rPr>
        <w:t xml:space="preserve">, </w:t>
      </w:r>
      <w:r w:rsidR="003C41A9" w:rsidRPr="00BD3912">
        <w:rPr>
          <w:sz w:val="28"/>
          <w:szCs w:val="28"/>
        </w:rPr>
        <w:t>впливу на сферу інтересів яких відбудеться</w:t>
      </w:r>
      <w:r w:rsidRPr="00BD3912">
        <w:rPr>
          <w:sz w:val="28"/>
          <w:szCs w:val="28"/>
        </w:rPr>
        <w:t>, сьогодні неможливо.</w:t>
      </w:r>
    </w:p>
    <w:p w:rsidR="00CC444A" w:rsidRPr="00BD3912" w:rsidRDefault="00CC444A" w:rsidP="00BD3912">
      <w:pPr>
        <w:tabs>
          <w:tab w:val="left" w:pos="1800"/>
        </w:tabs>
        <w:spacing w:after="0" w:line="240" w:lineRule="auto"/>
        <w:ind w:firstLine="709"/>
        <w:jc w:val="both"/>
        <w:rPr>
          <w:rStyle w:val="ae"/>
          <w:rFonts w:ascii="Times New Roman" w:hAnsi="Times New Roman"/>
          <w:bCs/>
          <w:color w:val="auto"/>
          <w:sz w:val="24"/>
          <w:szCs w:val="24"/>
          <w:u w:val="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685"/>
        <w:gridCol w:w="3827"/>
      </w:tblGrid>
      <w:tr w:rsidR="009A28A0" w:rsidRPr="00BD3912" w:rsidTr="006253ED">
        <w:tc>
          <w:tcPr>
            <w:tcW w:w="2235" w:type="dxa"/>
          </w:tcPr>
          <w:p w:rsidR="00F37621" w:rsidRPr="00BD3912" w:rsidRDefault="00265AE9" w:rsidP="00BD391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3912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  <w:r w:rsidRPr="00BD3912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  <w:r w:rsidRPr="00BD3912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  <w:r w:rsidRPr="00BD3912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  <w:r w:rsidR="00F37621" w:rsidRPr="00BD391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Вид альтернативи</w:t>
            </w:r>
          </w:p>
        </w:tc>
        <w:tc>
          <w:tcPr>
            <w:tcW w:w="3685" w:type="dxa"/>
          </w:tcPr>
          <w:p w:rsidR="00F37621" w:rsidRPr="00BD3912" w:rsidRDefault="00F37621" w:rsidP="00BD391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391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Вигоди</w:t>
            </w:r>
          </w:p>
        </w:tc>
        <w:tc>
          <w:tcPr>
            <w:tcW w:w="3827" w:type="dxa"/>
          </w:tcPr>
          <w:p w:rsidR="00F37621" w:rsidRPr="00BD3912" w:rsidRDefault="00F37621" w:rsidP="00BD391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391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Витрати</w:t>
            </w:r>
          </w:p>
        </w:tc>
      </w:tr>
      <w:tr w:rsidR="009A28A0" w:rsidRPr="00BD3912" w:rsidTr="006253ED">
        <w:tc>
          <w:tcPr>
            <w:tcW w:w="2235" w:type="dxa"/>
          </w:tcPr>
          <w:p w:rsidR="00DD4639" w:rsidRPr="001B7103" w:rsidRDefault="00DD4639" w:rsidP="00BD3912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103">
              <w:rPr>
                <w:rFonts w:ascii="Times New Roman" w:hAnsi="Times New Roman"/>
                <w:bCs/>
                <w:sz w:val="24"/>
                <w:szCs w:val="24"/>
              </w:rPr>
              <w:t>Альтернатива 1</w:t>
            </w:r>
            <w:r w:rsidR="004A25F1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DD4639" w:rsidRPr="00BD3912" w:rsidRDefault="00E273F7" w:rsidP="00BD3912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DD4639" w:rsidRPr="00BD3912">
              <w:rPr>
                <w:rFonts w:ascii="Times New Roman" w:hAnsi="Times New Roman"/>
                <w:bCs/>
                <w:sz w:val="24"/>
                <w:szCs w:val="24"/>
              </w:rPr>
              <w:t>береження ситуації, яка існує на цей час</w:t>
            </w:r>
          </w:p>
        </w:tc>
        <w:tc>
          <w:tcPr>
            <w:tcW w:w="3685" w:type="dxa"/>
          </w:tcPr>
          <w:p w:rsidR="00DD4639" w:rsidRPr="00BD3912" w:rsidRDefault="00DD4639" w:rsidP="006253ED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D3912">
              <w:rPr>
                <w:rFonts w:ascii="Times New Roman" w:hAnsi="Times New Roman"/>
                <w:bCs/>
                <w:sz w:val="24"/>
                <w:szCs w:val="24"/>
              </w:rPr>
              <w:t xml:space="preserve">Вигоди цього способу відсутні, </w:t>
            </w:r>
            <w:r w:rsidRPr="00BD3912">
              <w:rPr>
                <w:rFonts w:ascii="Times New Roman" w:hAnsi="Times New Roman"/>
                <w:sz w:val="24"/>
                <w:szCs w:val="24"/>
              </w:rPr>
              <w:t>оскільки проблема залишається не вирішеною</w:t>
            </w:r>
            <w:r w:rsidR="006A0010" w:rsidRPr="00BD39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D4639" w:rsidRPr="00BD3912" w:rsidRDefault="00DD4639" w:rsidP="006253ED">
            <w:pPr>
              <w:pStyle w:val="Default"/>
              <w:rPr>
                <w:color w:val="auto"/>
              </w:rPr>
            </w:pPr>
            <w:r w:rsidRPr="00BD3912">
              <w:rPr>
                <w:color w:val="auto"/>
              </w:rPr>
              <w:t>Відсутні, оскільки наявна на сьогодні ситуація залишається без змін</w:t>
            </w:r>
            <w:r w:rsidR="006A0010" w:rsidRPr="00BD3912">
              <w:rPr>
                <w:color w:val="auto"/>
              </w:rPr>
              <w:t>.</w:t>
            </w:r>
          </w:p>
        </w:tc>
      </w:tr>
      <w:tr w:rsidR="00DD4639" w:rsidRPr="00BD3912" w:rsidTr="006253ED">
        <w:trPr>
          <w:trHeight w:val="2185"/>
        </w:trPr>
        <w:tc>
          <w:tcPr>
            <w:tcW w:w="2235" w:type="dxa"/>
          </w:tcPr>
          <w:p w:rsidR="00DD4639" w:rsidRPr="001B7103" w:rsidRDefault="00DD4639" w:rsidP="00BD3912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10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Альтернатива 2</w:t>
            </w:r>
            <w:r w:rsidR="004A25F1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DD4639" w:rsidRPr="00BD3912" w:rsidRDefault="00E273F7" w:rsidP="006253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DD4639"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рийняття проєкту регуляторного акта</w:t>
            </w:r>
          </w:p>
          <w:p w:rsidR="00DD4639" w:rsidRPr="00BD3912" w:rsidRDefault="00DD4639" w:rsidP="00BD3912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DD4639" w:rsidRPr="00BD3912" w:rsidRDefault="008E6F8A" w:rsidP="006253ED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912">
              <w:rPr>
                <w:rFonts w:ascii="Times New Roman" w:hAnsi="Times New Roman"/>
                <w:sz w:val="24"/>
                <w:szCs w:val="24"/>
              </w:rPr>
              <w:t>Створення сприятливих</w:t>
            </w:r>
            <w:r w:rsidR="00885A13" w:rsidRPr="00BD3912">
              <w:rPr>
                <w:rFonts w:ascii="Times New Roman" w:hAnsi="Times New Roman"/>
                <w:sz w:val="24"/>
                <w:szCs w:val="24"/>
              </w:rPr>
              <w:t xml:space="preserve"> та прозорих</w:t>
            </w:r>
            <w:r w:rsidRPr="00BD3912">
              <w:rPr>
                <w:rFonts w:ascii="Times New Roman" w:hAnsi="Times New Roman"/>
                <w:sz w:val="24"/>
                <w:szCs w:val="24"/>
              </w:rPr>
              <w:t xml:space="preserve"> умов </w:t>
            </w:r>
            <w:r w:rsidR="00885A13" w:rsidRPr="00BD3912">
              <w:rPr>
                <w:rFonts w:ascii="Times New Roman" w:hAnsi="Times New Roman"/>
                <w:sz w:val="24"/>
                <w:szCs w:val="24"/>
              </w:rPr>
              <w:t>для</w:t>
            </w:r>
            <w:r w:rsidR="003C41A9" w:rsidRPr="00BD3912">
              <w:rPr>
                <w:rFonts w:ascii="Times New Roman" w:hAnsi="Times New Roman"/>
                <w:sz w:val="24"/>
                <w:szCs w:val="24"/>
              </w:rPr>
              <w:t xml:space="preserve"> належного контролю за  використанням, виробленням або вивільненням небезпечних речовин в процесі діяльності суб’єктів господарювання.</w:t>
            </w:r>
          </w:p>
        </w:tc>
        <w:tc>
          <w:tcPr>
            <w:tcW w:w="3827" w:type="dxa"/>
          </w:tcPr>
          <w:p w:rsidR="00773963" w:rsidRPr="00BD3912" w:rsidRDefault="00DD4639" w:rsidP="006253ED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912">
              <w:rPr>
                <w:rFonts w:ascii="Times New Roman" w:hAnsi="Times New Roman"/>
                <w:sz w:val="24"/>
                <w:szCs w:val="24"/>
              </w:rPr>
              <w:t>Прогнозуються витрати</w:t>
            </w:r>
            <w:r w:rsidR="00BD3912"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часу для ознайомлення з регуляторним актом, на підготовку </w:t>
            </w:r>
            <w:r w:rsidR="00DB441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і складання документів</w:t>
            </w:r>
            <w:r w:rsidR="00BD3912"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: за 1 рік – </w:t>
            </w:r>
            <w:r w:rsidR="006253ED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br/>
              <w:t>14267,26 гривень; за 5 років – 71144,3 гривень</w:t>
            </w:r>
            <w:r w:rsidR="00BD3912"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BD3912" w:rsidRDefault="00BD3912" w:rsidP="00BD3912">
      <w:p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DE5A28" w:rsidRPr="00BD3912" w:rsidRDefault="00DE5A28" w:rsidP="00497818">
      <w:pPr>
        <w:pStyle w:val="23"/>
        <w:spacing w:line="240" w:lineRule="auto"/>
        <w:ind w:left="0" w:firstLine="567"/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</w:pPr>
      <w:r w:rsidRPr="00BD3912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ІV. Вибір найбільш оптимального альтернативного способу досягнення цілей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2795"/>
        <w:gridCol w:w="4577"/>
      </w:tblGrid>
      <w:tr w:rsidR="00DE5A28" w:rsidRPr="00BD3912" w:rsidTr="006253ED"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28" w:rsidRPr="00BD3912" w:rsidRDefault="00DE5A28" w:rsidP="006253ED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391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Рейтинг результативності </w:t>
            </w:r>
            <w:r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(досягнення цілей під час вирішення проблеми)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28" w:rsidRPr="00BD3912" w:rsidRDefault="00DE5A28" w:rsidP="006253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D391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Бал результативності</w:t>
            </w:r>
          </w:p>
          <w:p w:rsidR="00DE5A28" w:rsidRPr="00BD3912" w:rsidRDefault="00DE5A28" w:rsidP="006253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(за чотирибальною системою оцінки)</w:t>
            </w:r>
          </w:p>
          <w:p w:rsidR="00DE5A28" w:rsidRPr="00BD3912" w:rsidRDefault="00DE5A28" w:rsidP="006253E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5A28" w:rsidRPr="00BD3912" w:rsidRDefault="00DE5A28" w:rsidP="006253E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28" w:rsidRPr="00BD3912" w:rsidRDefault="00DE5A28" w:rsidP="006253E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D391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Коментарі щ</w:t>
            </w:r>
            <w:r w:rsidR="006253E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одо присвоєння відповідного балу</w:t>
            </w:r>
          </w:p>
        </w:tc>
      </w:tr>
      <w:tr w:rsidR="00DE5A28" w:rsidRPr="00BD3912" w:rsidTr="0094751D"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28" w:rsidRPr="001B7103" w:rsidRDefault="00DE5A28" w:rsidP="0094751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710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Альтернатива 1</w:t>
            </w:r>
            <w:r w:rsidR="006253ED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DE5A28" w:rsidRPr="00CD7E00" w:rsidRDefault="00DE5A28" w:rsidP="0094751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CD7E00">
              <w:rPr>
                <w:rFonts w:ascii="Times New Roman" w:hAnsi="Times New Roman"/>
                <w:sz w:val="24"/>
                <w:szCs w:val="24"/>
                <w:lang w:eastAsia="ru-RU"/>
              </w:rPr>
              <w:t>рийняття проєкту</w:t>
            </w:r>
          </w:p>
          <w:p w:rsidR="00DE5A28" w:rsidRPr="00BD3912" w:rsidRDefault="00DE5A28" w:rsidP="0094751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28" w:rsidRPr="00BD3912" w:rsidRDefault="00DE5A28" w:rsidP="0094751D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28" w:rsidRPr="00BD3912" w:rsidRDefault="00DE5A28" w:rsidP="006253ED">
            <w:pPr>
              <w:spacing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D3912">
              <w:rPr>
                <w:rFonts w:ascii="Times New Roman" w:hAnsi="Times New Roman"/>
                <w:sz w:val="24"/>
                <w:szCs w:val="24"/>
              </w:rPr>
              <w:t>Зазначений спосіб</w:t>
            </w:r>
            <w:r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є </w:t>
            </w:r>
            <w:r w:rsidRPr="00BD3912">
              <w:rPr>
                <w:rFonts w:ascii="Times New Roman" w:hAnsi="Times New Roman"/>
                <w:sz w:val="24"/>
                <w:szCs w:val="24"/>
              </w:rPr>
              <w:t xml:space="preserve">найбільш доцільним, </w:t>
            </w:r>
            <w:r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прийнятним та ефективним і дозволить </w:t>
            </w:r>
            <w:r w:rsidRPr="00BD3912">
              <w:rPr>
                <w:rFonts w:ascii="Times New Roman" w:hAnsi="Times New Roman"/>
                <w:sz w:val="24"/>
                <w:szCs w:val="24"/>
              </w:rPr>
              <w:t xml:space="preserve">досягти усіх цілей регулювання, повністю відповідає вимогам законодавства та міжнародних зобов’язань України та забезпечить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3912">
              <w:rPr>
                <w:rFonts w:ascii="Times New Roman" w:hAnsi="Times New Roman"/>
                <w:sz w:val="24"/>
                <w:szCs w:val="24"/>
              </w:rPr>
              <w:t>творення сприятливих та прозорих умов для належного контролю за  використанням, виробленням або вивільненням небезпечних речовин в процесі діяльності суб’єктів господарювання.</w:t>
            </w:r>
          </w:p>
        </w:tc>
      </w:tr>
      <w:tr w:rsidR="00DE5A28" w:rsidRPr="00BD3912" w:rsidTr="0094751D"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28" w:rsidRPr="001B7103" w:rsidRDefault="00DE5A28" w:rsidP="0094751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710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Альтернатива 2</w:t>
            </w:r>
            <w:r w:rsidR="006253ED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DE5A28" w:rsidRPr="00CD7E00" w:rsidRDefault="00DE5A28" w:rsidP="0094751D">
            <w:pPr>
              <w:pStyle w:val="23"/>
              <w:spacing w:line="240" w:lineRule="auto"/>
              <w:ind w:left="0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з</w:t>
            </w:r>
            <w:r w:rsidRPr="00CD7E00">
              <w:rPr>
                <w:rStyle w:val="rvts0"/>
                <w:rFonts w:ascii="Times New Roman" w:hAnsi="Times New Roman"/>
                <w:sz w:val="24"/>
                <w:szCs w:val="24"/>
              </w:rPr>
              <w:t>береження ситуації, яка існує на сьогодні</w:t>
            </w:r>
          </w:p>
          <w:p w:rsidR="00DE5A28" w:rsidRPr="00BD3912" w:rsidRDefault="00DE5A28" w:rsidP="0094751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28" w:rsidRPr="00BD3912" w:rsidRDefault="00DE5A28" w:rsidP="0094751D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28" w:rsidRPr="00BD3912" w:rsidRDefault="00DE5A28" w:rsidP="006253E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Збереження існуючої ситуації є неприйнятною з огляду на необхідність вирішення питання виконання </w:t>
            </w:r>
            <w:r w:rsidRPr="00BD3912">
              <w:rPr>
                <w:rFonts w:ascii="Times New Roman" w:hAnsi="Times New Roman"/>
                <w:sz w:val="24"/>
                <w:szCs w:val="24"/>
              </w:rPr>
              <w:t xml:space="preserve">законодавства та міжнародних зобов’язань України та </w:t>
            </w:r>
            <w:r>
              <w:rPr>
                <w:rFonts w:ascii="Times New Roman" w:hAnsi="Times New Roman"/>
                <w:sz w:val="24"/>
                <w:szCs w:val="24"/>
              </w:rPr>
              <w:t>необхідність с</w:t>
            </w:r>
            <w:r w:rsidRPr="00BD3912">
              <w:rPr>
                <w:rFonts w:ascii="Times New Roman" w:hAnsi="Times New Roman"/>
                <w:sz w:val="24"/>
                <w:szCs w:val="24"/>
              </w:rPr>
              <w:t>творення сприятливих та прозорих умов для належного контролю за  використанням, виробленням або вивільненням небезпечних речовин в процесі діяльності суб’єктів господарювання.</w:t>
            </w:r>
          </w:p>
        </w:tc>
      </w:tr>
    </w:tbl>
    <w:p w:rsidR="00DE5A28" w:rsidRPr="00BD3912" w:rsidRDefault="00DE5A28" w:rsidP="00DE5A28">
      <w:pPr>
        <w:pStyle w:val="23"/>
        <w:spacing w:line="240" w:lineRule="auto"/>
        <w:ind w:left="0" w:firstLine="709"/>
        <w:rPr>
          <w:rFonts w:ascii="Times New Roman" w:eastAsia="Calibri" w:hAnsi="Times New Roman"/>
          <w:color w:val="000000"/>
          <w:szCs w:val="28"/>
          <w:shd w:val="clear" w:color="auto" w:fill="FFFFFF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2795"/>
        <w:gridCol w:w="2909"/>
        <w:gridCol w:w="1701"/>
      </w:tblGrid>
      <w:tr w:rsidR="00DE5A28" w:rsidRPr="00BD3912" w:rsidTr="006253ED"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28" w:rsidRPr="00BD3912" w:rsidRDefault="00DE5A28" w:rsidP="0094751D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D391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Рейтинг результативності 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28" w:rsidRPr="00BD3912" w:rsidRDefault="00DE5A28" w:rsidP="0094751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D391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Вигоди (підсумок)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28" w:rsidRPr="00BD3912" w:rsidRDefault="00DE5A28" w:rsidP="0094751D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D391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Витрати (підсумок)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28" w:rsidRPr="00BD3912" w:rsidRDefault="00DE5A28" w:rsidP="006253ED">
            <w:pPr>
              <w:spacing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D391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Обґрунтування відповідного місця альтернативи у рейтингу</w:t>
            </w:r>
          </w:p>
        </w:tc>
      </w:tr>
      <w:tr w:rsidR="00DE5A28" w:rsidRPr="00BD3912" w:rsidTr="006253ED">
        <w:trPr>
          <w:trHeight w:val="477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28" w:rsidRPr="006253ED" w:rsidRDefault="00DE5A28" w:rsidP="0094751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710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Альтернатива </w:t>
            </w:r>
            <w:r w:rsidRPr="001B710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  <w:r w:rsidR="006253ED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DE5A28" w:rsidRPr="00CD7E00" w:rsidRDefault="00DE5A28" w:rsidP="0094751D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CD7E00">
              <w:rPr>
                <w:rFonts w:ascii="Times New Roman" w:hAnsi="Times New Roman"/>
                <w:sz w:val="24"/>
                <w:szCs w:val="24"/>
                <w:lang w:eastAsia="ru-RU"/>
              </w:rPr>
              <w:t>рийняття проєкту</w:t>
            </w:r>
          </w:p>
          <w:p w:rsidR="00DE5A28" w:rsidRPr="00BD3912" w:rsidRDefault="00DE5A28" w:rsidP="0094751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28" w:rsidRPr="00BD3912" w:rsidRDefault="00DE5A28" w:rsidP="0094751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391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Для держави:</w:t>
            </w:r>
            <w:r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E5A28" w:rsidRPr="00BD3912" w:rsidRDefault="006253ED" w:rsidP="00947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E5A28" w:rsidRPr="00BD3912">
              <w:rPr>
                <w:rFonts w:ascii="Times New Roman" w:hAnsi="Times New Roman"/>
                <w:sz w:val="24"/>
                <w:szCs w:val="24"/>
              </w:rPr>
              <w:t xml:space="preserve">иконання законодавства та </w:t>
            </w:r>
            <w:r w:rsidR="00DE5A28" w:rsidRPr="00BD3912">
              <w:rPr>
                <w:rFonts w:ascii="Times New Roman" w:hAnsi="Times New Roman"/>
                <w:sz w:val="24"/>
                <w:szCs w:val="24"/>
              </w:rPr>
              <w:lastRenderedPageBreak/>
              <w:t>міжнародних зобов’язань України.</w:t>
            </w:r>
          </w:p>
          <w:p w:rsidR="00DE5A28" w:rsidRDefault="00DE5A28" w:rsidP="006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912">
              <w:rPr>
                <w:rFonts w:ascii="Times New Roman" w:hAnsi="Times New Roman"/>
                <w:sz w:val="24"/>
                <w:szCs w:val="24"/>
              </w:rPr>
              <w:t>Створення сприятливих та прозорих умов для належного контролю за  використанням, виробленням або вивільненням небезпечних речовин в процесі діяльності суб’єктів господарювання.</w:t>
            </w:r>
          </w:p>
          <w:p w:rsidR="00DE5A28" w:rsidRPr="00BD3912" w:rsidRDefault="00DE5A28" w:rsidP="0094751D">
            <w:pPr>
              <w:spacing w:before="120" w:after="0" w:line="240" w:lineRule="auto"/>
              <w:ind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Для громадян:</w:t>
            </w:r>
            <w:r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253E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изначення обсягу обов’язків оператора установки із усунення забруднення </w:t>
            </w:r>
            <w:r w:rsidR="006253ED">
              <w:rPr>
                <w:rFonts w:ascii="Times New Roman" w:hAnsi="Times New Roman"/>
                <w:sz w:val="24"/>
                <w:szCs w:val="24"/>
                <w:lang w:eastAsia="ru-RU"/>
              </w:rPr>
              <w:t>буде означати</w:t>
            </w: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більш безпечне екологічне середовище для громадськості.</w:t>
            </w:r>
          </w:p>
          <w:p w:rsidR="00DE5A28" w:rsidRDefault="00DE5A28" w:rsidP="006253ED">
            <w:pPr>
              <w:pStyle w:val="211"/>
              <w:ind w:firstLine="0"/>
              <w:jc w:val="left"/>
              <w:rPr>
                <w:sz w:val="24"/>
                <w:szCs w:val="24"/>
              </w:rPr>
            </w:pPr>
            <w:r w:rsidRPr="00BD3912">
              <w:rPr>
                <w:sz w:val="24"/>
                <w:szCs w:val="24"/>
              </w:rPr>
              <w:t>Забезпечується захист конституційних прав громадськості на безпечне довкілля мінімізації впливу об’єктів промислового забруднення на довкілля.</w:t>
            </w:r>
          </w:p>
          <w:p w:rsidR="00DE5A28" w:rsidRPr="00BD3912" w:rsidRDefault="00DE5A28" w:rsidP="0094751D">
            <w:pPr>
              <w:pStyle w:val="211"/>
              <w:ind w:firstLine="0"/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BD3912"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  <w:t>Для</w:t>
            </w:r>
            <w:r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D3912"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  <w:t>суб’єктів господарювання:</w:t>
            </w:r>
          </w:p>
          <w:p w:rsidR="00DE5A28" w:rsidRPr="00BD3912" w:rsidRDefault="00DE5A28" w:rsidP="006253E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встановлення чітких вимог та єдиних форм документів в процесі здійснення державою </w:t>
            </w:r>
            <w:r w:rsidRPr="00BD3912">
              <w:rPr>
                <w:rFonts w:ascii="Times New Roman" w:hAnsi="Times New Roman"/>
                <w:sz w:val="24"/>
                <w:szCs w:val="24"/>
              </w:rPr>
              <w:t>контролю за  використанням, виробленням або вивільненням небезпечних речовин в процесі діяльності суб’єктів господарювання.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28" w:rsidRPr="00BD3912" w:rsidRDefault="00DE5A28" w:rsidP="009475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D391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Для держави:</w:t>
            </w:r>
          </w:p>
          <w:p w:rsidR="00DE5A28" w:rsidRPr="00BD3912" w:rsidRDefault="006253ED" w:rsidP="00947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E5A28" w:rsidRPr="00BD3912">
              <w:rPr>
                <w:rFonts w:ascii="Times New Roman" w:hAnsi="Times New Roman"/>
                <w:sz w:val="24"/>
                <w:szCs w:val="24"/>
              </w:rPr>
              <w:t xml:space="preserve">рієнтовні витрати для Міндовкілля на: розгляд </w:t>
            </w:r>
            <w:r w:rsidR="00DE5A28" w:rsidRPr="00BD3912">
              <w:rPr>
                <w:rFonts w:ascii="Times New Roman" w:hAnsi="Times New Roman"/>
                <w:sz w:val="24"/>
                <w:szCs w:val="24"/>
              </w:rPr>
              <w:lastRenderedPageBreak/>
              <w:t>пропозицій;</w:t>
            </w:r>
          </w:p>
          <w:p w:rsidR="00DE5A28" w:rsidRPr="00BD3912" w:rsidRDefault="00DE5A28" w:rsidP="0062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912">
              <w:rPr>
                <w:rFonts w:ascii="Times New Roman" w:hAnsi="Times New Roman"/>
                <w:sz w:val="24"/>
                <w:szCs w:val="24"/>
              </w:rPr>
              <w:t>спрямування на рецензію і розгляд відповіді; організація і проведення Міжвідомчої робочої групи при Міндовкілля; повідомлення про результати розгляду;</w:t>
            </w:r>
          </w:p>
          <w:p w:rsidR="00DE5A28" w:rsidRPr="00BD3912" w:rsidRDefault="00DE5A28" w:rsidP="006253E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підготовка проєкту та врахування громадської думки; затвердження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Наказу </w:t>
            </w:r>
            <w:r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та його реєстрація в Мін’юсті; оприлюднення на офіційному сайті при впровадженні проєкту наказу в перши</w:t>
            </w:r>
            <w:r w:rsidR="006253ED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й рік становитимуть </w:t>
            </w:r>
            <w:r w:rsidR="006253ED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br/>
              <w:t>18494,00 гривень</w:t>
            </w:r>
            <w:r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E5A28" w:rsidRPr="00BD3912" w:rsidRDefault="00DE5A28" w:rsidP="0094751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Сумарно за п</w:t>
            </w:r>
            <w:r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’</w:t>
            </w:r>
            <w:r w:rsidR="006253ED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ять років – 92470,00 гривень</w:t>
            </w:r>
            <w:r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E5A28" w:rsidRPr="00BD3912" w:rsidRDefault="00DE5A28" w:rsidP="009475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D391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Для громадян:</w:t>
            </w:r>
          </w:p>
          <w:p w:rsidR="00DE5A28" w:rsidRPr="00BD3912" w:rsidRDefault="006253ED" w:rsidP="0094751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DE5A28"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ідсутні</w:t>
            </w:r>
          </w:p>
          <w:p w:rsidR="00DE5A28" w:rsidRPr="00BD3912" w:rsidRDefault="00DE5A28" w:rsidP="006253E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391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Для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391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суб’єктів господарювання:</w:t>
            </w:r>
            <w:r w:rsidR="006253ED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итрати часу для ознайомлення з регуляторним актом, на підготовку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r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стан</w:t>
            </w:r>
            <w:r w:rsidR="006253ED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овлять: за 1 рік – 14267,26 гривень; за </w:t>
            </w:r>
            <w:r w:rsidR="006253ED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br/>
              <w:t>5 років – 71144,3 гривень</w:t>
            </w:r>
            <w:r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28" w:rsidRPr="00BD3912" w:rsidRDefault="00DE5A28" w:rsidP="006253ED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3912">
              <w:rPr>
                <w:rFonts w:ascii="Times New Roman" w:hAnsi="Times New Roman"/>
                <w:sz w:val="24"/>
                <w:szCs w:val="24"/>
              </w:rPr>
              <w:lastRenderedPageBreak/>
              <w:t>Обрання зазначеної альтернативи</w:t>
            </w:r>
            <w:r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дозволить досягнути поставлених цілей державного регулювання та відповідатиме вимогам законодавства та міжнародних зобов’язань України.</w:t>
            </w:r>
          </w:p>
          <w:p w:rsidR="00DE5A28" w:rsidRPr="00BD3912" w:rsidRDefault="00DE5A28" w:rsidP="0094751D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E5A28" w:rsidRPr="00BD3912" w:rsidRDefault="00DE5A28" w:rsidP="0094751D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E5A28" w:rsidRPr="00BD3912" w:rsidRDefault="00DE5A28" w:rsidP="0094751D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E5A28" w:rsidRPr="00BD3912" w:rsidRDefault="00DE5A28" w:rsidP="0094751D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E5A28" w:rsidRPr="00BD3912" w:rsidRDefault="00DE5A28" w:rsidP="0094751D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E5A28" w:rsidRPr="00BD3912" w:rsidRDefault="00DE5A28" w:rsidP="0094751D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E5A28" w:rsidRPr="00BD3912" w:rsidRDefault="00DE5A28" w:rsidP="0094751D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E5A28" w:rsidRPr="00BD3912" w:rsidRDefault="00DE5A28" w:rsidP="0094751D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E5A28" w:rsidRPr="00BD3912" w:rsidRDefault="00DE5A28" w:rsidP="0094751D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E5A28" w:rsidRPr="00BD3912" w:rsidRDefault="00DE5A28" w:rsidP="0094751D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E5A28" w:rsidRPr="00BD3912" w:rsidRDefault="00DE5A28" w:rsidP="0094751D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E5A28" w:rsidRPr="00BD3912" w:rsidRDefault="00DE5A28" w:rsidP="0094751D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E5A28" w:rsidRPr="00BD3912" w:rsidRDefault="00DE5A28" w:rsidP="0094751D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E5A28" w:rsidRPr="00BD3912" w:rsidRDefault="00DE5A28" w:rsidP="0094751D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E5A28" w:rsidRPr="00BD3912" w:rsidTr="006253ED">
        <w:trPr>
          <w:trHeight w:val="1058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A28" w:rsidRPr="001B7103" w:rsidRDefault="00DE5A28" w:rsidP="0094751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710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Альтернатива 2</w:t>
            </w:r>
            <w:r w:rsidR="006253ED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DE5A28" w:rsidRPr="001B7103" w:rsidRDefault="00DE5A28" w:rsidP="0094751D">
            <w:pPr>
              <w:pStyle w:val="23"/>
              <w:spacing w:after="0" w:line="240" w:lineRule="auto"/>
              <w:ind w:left="0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з</w:t>
            </w:r>
            <w:r w:rsidRPr="001B7103">
              <w:rPr>
                <w:rStyle w:val="rvts0"/>
                <w:rFonts w:ascii="Times New Roman" w:hAnsi="Times New Roman"/>
                <w:sz w:val="24"/>
                <w:szCs w:val="24"/>
              </w:rPr>
              <w:t>береження ситуації, яка існує на сьогодні</w:t>
            </w:r>
          </w:p>
          <w:p w:rsidR="00DE5A28" w:rsidRPr="00BD3912" w:rsidRDefault="00DE5A28" w:rsidP="0094751D">
            <w:pPr>
              <w:spacing w:line="240" w:lineRule="auto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A28" w:rsidRPr="00BD3912" w:rsidRDefault="00DE5A28" w:rsidP="009475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Вигоди відсутні, оскільки проблема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лишається не вирішеною.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A28" w:rsidRPr="00BD3912" w:rsidRDefault="00DE5A28" w:rsidP="009475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D391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Для держави:</w:t>
            </w:r>
          </w:p>
          <w:p w:rsidR="00DE5A28" w:rsidRPr="00BD3912" w:rsidRDefault="006253ED" w:rsidP="0094751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DE5A28"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ідсутні.</w:t>
            </w:r>
          </w:p>
          <w:p w:rsidR="00DE5A28" w:rsidRPr="00BD3912" w:rsidRDefault="00DE5A28" w:rsidP="009475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D391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Для громадян:</w:t>
            </w:r>
          </w:p>
          <w:p w:rsidR="00DE5A28" w:rsidRPr="00BD3912" w:rsidRDefault="006253ED" w:rsidP="0094751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DE5A28"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ідсутні.</w:t>
            </w:r>
          </w:p>
          <w:p w:rsidR="00DE5A28" w:rsidRPr="00BD3912" w:rsidRDefault="00DE5A28" w:rsidP="0094751D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D391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Для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391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суб’єктів господарювання:</w:t>
            </w:r>
          </w:p>
          <w:p w:rsidR="00DE5A28" w:rsidRPr="00BD3912" w:rsidRDefault="006253ED" w:rsidP="00947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DE5A28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ідсутні.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A28" w:rsidRPr="00BD3912" w:rsidRDefault="00DE5A28" w:rsidP="0094751D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Не дозволяє досягти цілей державного регулювання.</w:t>
            </w:r>
          </w:p>
          <w:p w:rsidR="00DE5A28" w:rsidRPr="00BD3912" w:rsidRDefault="00DE5A28" w:rsidP="009475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Створює передумови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забруднення шляхом </w:t>
            </w:r>
            <w:r w:rsidRPr="00BD3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912">
              <w:rPr>
                <w:rFonts w:ascii="Times New Roman" w:hAnsi="Times New Roman"/>
                <w:sz w:val="24"/>
                <w:szCs w:val="24"/>
              </w:rPr>
              <w:lastRenderedPageBreak/>
              <w:t>використання, вироблення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912">
              <w:rPr>
                <w:rFonts w:ascii="Times New Roman" w:hAnsi="Times New Roman"/>
                <w:sz w:val="24"/>
                <w:szCs w:val="24"/>
              </w:rPr>
              <w:t>або вивільнення небезпечних речовин в процесі діяльності суб’єктів господарювання.</w:t>
            </w:r>
          </w:p>
        </w:tc>
      </w:tr>
    </w:tbl>
    <w:p w:rsidR="00DE5A28" w:rsidRPr="00BD3912" w:rsidRDefault="00DE5A28" w:rsidP="00DE5A28">
      <w:pPr>
        <w:pStyle w:val="3"/>
        <w:spacing w:line="240" w:lineRule="auto"/>
        <w:outlineLvl w:val="0"/>
        <w:rPr>
          <w:rFonts w:ascii="Times New Roman" w:eastAsia="Calibri" w:hAnsi="Times New Roman"/>
          <w:b/>
          <w:szCs w:val="28"/>
          <w:shd w:val="clear" w:color="auto" w:fill="FFFFFF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4516"/>
        <w:gridCol w:w="2890"/>
      </w:tblGrid>
      <w:tr w:rsidR="00DE5A28" w:rsidRPr="00BD3912" w:rsidTr="006253ED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28" w:rsidRPr="00BD3912" w:rsidRDefault="00DE5A28" w:rsidP="0094751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D391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Рейтинг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28" w:rsidRPr="00BD3912" w:rsidRDefault="00DE5A28" w:rsidP="0094751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D391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28" w:rsidRPr="00BD3912" w:rsidRDefault="00DE5A28" w:rsidP="0094751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D391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DE5A28" w:rsidRPr="00BD3912" w:rsidTr="006253ED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28" w:rsidRPr="006253ED" w:rsidRDefault="00DE5A28" w:rsidP="0094751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710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Альтернатива </w:t>
            </w:r>
            <w:r w:rsidRPr="001B710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  <w:r w:rsidR="006253ED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DE5A28" w:rsidRPr="001B7103" w:rsidRDefault="00DE5A28" w:rsidP="0094751D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1B7103">
              <w:rPr>
                <w:rFonts w:ascii="Times New Roman" w:hAnsi="Times New Roman"/>
                <w:sz w:val="24"/>
                <w:szCs w:val="24"/>
                <w:lang w:eastAsia="ru-RU"/>
              </w:rPr>
              <w:t>рийняття проєкту наказу</w:t>
            </w:r>
          </w:p>
          <w:p w:rsidR="00DE5A28" w:rsidRPr="00BD3912" w:rsidRDefault="00DE5A28" w:rsidP="0094751D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28" w:rsidRPr="00BD3912" w:rsidRDefault="00DE5A28" w:rsidP="009475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Така альтернатива досягнення цілей державного регулювання сприятиме забезпеченню виконання національного законодавства та міжнародних зобов’язань України,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здійснення належного </w:t>
            </w:r>
            <w:r w:rsidRPr="00BD3912">
              <w:rPr>
                <w:rFonts w:ascii="Times New Roman" w:hAnsi="Times New Roman"/>
                <w:sz w:val="24"/>
                <w:szCs w:val="24"/>
              </w:rPr>
              <w:t>контролю за  використанням, виробленням або вивільненням небезпечних речовин в процесі діял</w:t>
            </w:r>
            <w:r>
              <w:rPr>
                <w:rFonts w:ascii="Times New Roman" w:hAnsi="Times New Roman"/>
                <w:sz w:val="24"/>
                <w:szCs w:val="24"/>
              </w:rPr>
              <w:t>ьності суб’єктів господарювання.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28" w:rsidRPr="00BD3912" w:rsidRDefault="00DE5A28" w:rsidP="0094751D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Зовнішні чинники на дію </w:t>
            </w:r>
            <w:r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проєкту наказу</w:t>
            </w:r>
            <w:r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 разі його прийняття відсутні.</w:t>
            </w:r>
          </w:p>
        </w:tc>
      </w:tr>
      <w:tr w:rsidR="00DE5A28" w:rsidRPr="00BD3912" w:rsidTr="006253ED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28" w:rsidRPr="001B7103" w:rsidRDefault="00DE5A28" w:rsidP="0094751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710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Альтернатива 2</w:t>
            </w:r>
            <w:r w:rsidR="006253ED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DE5A28" w:rsidRPr="001B7103" w:rsidRDefault="00DE5A28" w:rsidP="0094751D">
            <w:pPr>
              <w:pStyle w:val="23"/>
              <w:spacing w:line="240" w:lineRule="auto"/>
              <w:ind w:left="0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з</w:t>
            </w:r>
            <w:r w:rsidRPr="001B7103">
              <w:rPr>
                <w:rStyle w:val="rvts0"/>
                <w:rFonts w:ascii="Times New Roman" w:hAnsi="Times New Roman"/>
                <w:sz w:val="24"/>
                <w:szCs w:val="24"/>
              </w:rPr>
              <w:t>береження ситуації, яка існує на сьогодні</w:t>
            </w:r>
          </w:p>
          <w:p w:rsidR="00DE5A28" w:rsidRPr="00BD3912" w:rsidRDefault="00DE5A28" w:rsidP="0094751D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28" w:rsidRPr="00BD3912" w:rsidRDefault="00DE5A28" w:rsidP="0094751D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Не дозволить вирішити проблеми, зазначені у розділі І аналізу регуляторного впливу, а також не дозволить досягти цілей державного регулювання.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28" w:rsidRPr="00BD3912" w:rsidRDefault="00DE5A28" w:rsidP="0094751D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Вплив зовнішніх чинників на дію регуляторного акта у разі збереження ситуації, яка існує на сьогодні залишається без змін</w:t>
            </w:r>
          </w:p>
        </w:tc>
      </w:tr>
    </w:tbl>
    <w:p w:rsidR="00DE5A28" w:rsidRPr="00B214C9" w:rsidRDefault="00DE5A28" w:rsidP="00DE5A28">
      <w:p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CD7E00" w:rsidRDefault="00CD7E00" w:rsidP="00CD7E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B214C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V. Механізми та заходи, які забезпечать розв’язання визначеної проблеми</w:t>
      </w:r>
    </w:p>
    <w:p w:rsidR="00CD7E00" w:rsidRDefault="00CD7E00" w:rsidP="00CD7E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214C9">
        <w:rPr>
          <w:rFonts w:ascii="Times New Roman" w:hAnsi="Times New Roman"/>
          <w:sz w:val="28"/>
          <w:szCs w:val="28"/>
          <w:lang w:eastAsia="uk-UA"/>
        </w:rPr>
        <w:t xml:space="preserve">Для вирішення проблеми, визначеної у розділі І, та досягнення цілей, </w:t>
      </w:r>
      <w:r w:rsidRPr="00BD3912">
        <w:rPr>
          <w:rFonts w:ascii="Times New Roman" w:hAnsi="Times New Roman"/>
          <w:sz w:val="28"/>
          <w:szCs w:val="28"/>
          <w:lang w:eastAsia="uk-UA"/>
        </w:rPr>
        <w:t xml:space="preserve">визначених у розділі ІІ аналізу регуляторного впливу, </w:t>
      </w:r>
      <w:proofErr w:type="spellStart"/>
      <w:r w:rsidRPr="00BD3912">
        <w:rPr>
          <w:rFonts w:ascii="Times New Roman" w:hAnsi="Times New Roman"/>
          <w:sz w:val="28"/>
          <w:szCs w:val="28"/>
          <w:lang w:eastAsia="uk-UA"/>
        </w:rPr>
        <w:t>проєктом</w:t>
      </w:r>
      <w:proofErr w:type="spellEnd"/>
      <w:r w:rsidRPr="00BD3912">
        <w:rPr>
          <w:rFonts w:ascii="Times New Roman" w:hAnsi="Times New Roman"/>
          <w:sz w:val="28"/>
          <w:szCs w:val="28"/>
          <w:lang w:eastAsia="uk-UA"/>
        </w:rPr>
        <w:t xml:space="preserve"> регуляторного акта передбачено</w:t>
      </w:r>
      <w:r w:rsidRPr="00BD3912">
        <w:rPr>
          <w:rFonts w:ascii="Times New Roman" w:hAnsi="Times New Roman"/>
        </w:rPr>
        <w:t xml:space="preserve"> </w:t>
      </w:r>
      <w:r w:rsidRPr="00BD3912">
        <w:rPr>
          <w:rFonts w:ascii="Times New Roman" w:hAnsi="Times New Roman"/>
          <w:sz w:val="28"/>
          <w:szCs w:val="28"/>
          <w:lang w:eastAsia="uk-UA"/>
        </w:rPr>
        <w:t>закріпити на рівні нормативно-правового акту</w:t>
      </w:r>
      <w:r>
        <w:rPr>
          <w:rFonts w:ascii="Times New Roman" w:hAnsi="Times New Roman"/>
          <w:sz w:val="28"/>
          <w:szCs w:val="28"/>
          <w:lang w:eastAsia="uk-UA"/>
        </w:rPr>
        <w:t xml:space="preserve">: </w:t>
      </w:r>
    </w:p>
    <w:p w:rsidR="00CD7E00" w:rsidRDefault="00CD7E00" w:rsidP="00CD7E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</w:t>
      </w:r>
      <w:r w:rsidRPr="000C5147">
        <w:rPr>
          <w:rFonts w:ascii="Times New Roman" w:hAnsi="Times New Roman"/>
          <w:sz w:val="28"/>
          <w:szCs w:val="28"/>
        </w:rPr>
        <w:t xml:space="preserve"> базового звіту</w:t>
      </w:r>
      <w:r>
        <w:rPr>
          <w:rFonts w:ascii="Times New Roman" w:hAnsi="Times New Roman"/>
          <w:sz w:val="28"/>
          <w:szCs w:val="28"/>
        </w:rPr>
        <w:t>;</w:t>
      </w:r>
    </w:p>
    <w:p w:rsidR="00CD7E00" w:rsidRDefault="00CD7E00" w:rsidP="00CD7E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вим</w:t>
      </w:r>
      <w:r w:rsidRPr="000C5147">
        <w:rPr>
          <w:rFonts w:ascii="Times New Roman" w:hAnsi="Times New Roman"/>
          <w:sz w:val="28"/>
          <w:szCs w:val="28"/>
        </w:rPr>
        <w:t>оги до змісту базового звіту та оцінки стану забруднення земель та підземних вод</w:t>
      </w:r>
      <w:r>
        <w:rPr>
          <w:rFonts w:ascii="Times New Roman" w:hAnsi="Times New Roman"/>
          <w:sz w:val="28"/>
          <w:szCs w:val="28"/>
        </w:rPr>
        <w:t>, що</w:t>
      </w:r>
      <w:r w:rsidRPr="00BD3912">
        <w:rPr>
          <w:rFonts w:ascii="Times New Roman" w:hAnsi="Times New Roman"/>
          <w:sz w:val="28"/>
          <w:szCs w:val="28"/>
        </w:rPr>
        <w:t xml:space="preserve"> є основою для оці</w:t>
      </w:r>
      <w:r>
        <w:rPr>
          <w:rFonts w:ascii="Times New Roman" w:hAnsi="Times New Roman"/>
          <w:sz w:val="28"/>
          <w:szCs w:val="28"/>
        </w:rPr>
        <w:t>нки екологічного стану об'єкта;</w:t>
      </w:r>
    </w:p>
    <w:p w:rsidR="00CD7E00" w:rsidRDefault="00CD7E00" w:rsidP="00CD7E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3912">
        <w:rPr>
          <w:rFonts w:ascii="Times New Roman" w:hAnsi="Times New Roman"/>
          <w:sz w:val="28"/>
          <w:szCs w:val="28"/>
        </w:rPr>
        <w:t>чітк</w:t>
      </w:r>
      <w:r>
        <w:rPr>
          <w:rFonts w:ascii="Times New Roman" w:hAnsi="Times New Roman"/>
          <w:sz w:val="28"/>
          <w:szCs w:val="28"/>
        </w:rPr>
        <w:t>у</w:t>
      </w:r>
      <w:r w:rsidRPr="00BD3912">
        <w:rPr>
          <w:rFonts w:ascii="Times New Roman" w:hAnsi="Times New Roman"/>
          <w:sz w:val="28"/>
          <w:szCs w:val="28"/>
        </w:rPr>
        <w:t xml:space="preserve"> методик</w:t>
      </w:r>
      <w:r>
        <w:rPr>
          <w:rFonts w:ascii="Times New Roman" w:hAnsi="Times New Roman"/>
          <w:sz w:val="28"/>
          <w:szCs w:val="28"/>
        </w:rPr>
        <w:t>у</w:t>
      </w:r>
      <w:r w:rsidRPr="00BD3912">
        <w:rPr>
          <w:rFonts w:ascii="Times New Roman" w:hAnsi="Times New Roman"/>
          <w:sz w:val="28"/>
          <w:szCs w:val="28"/>
        </w:rPr>
        <w:t xml:space="preserve"> оцінки стану забруднення земель та підземних вод, що дозволить об'єктивно визначати рівень небезпеки. </w:t>
      </w:r>
    </w:p>
    <w:p w:rsidR="00CD7E00" w:rsidRDefault="00CD7E00" w:rsidP="00CD7E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D606F">
        <w:rPr>
          <w:rFonts w:ascii="Times New Roman" w:hAnsi="Times New Roman"/>
          <w:sz w:val="28"/>
          <w:szCs w:val="28"/>
        </w:rPr>
        <w:t xml:space="preserve">ерелік небезпечних речовин визначається шляхом посилання на чинний нормативно-правовий акт – відповідно до частини третьої додатку </w:t>
      </w:r>
      <w:r w:rsidRPr="005D606F">
        <w:rPr>
          <w:rFonts w:ascii="Times New Roman" w:hAnsi="Times New Roman"/>
          <w:sz w:val="28"/>
          <w:szCs w:val="28"/>
          <w:lang w:val="en-US"/>
        </w:rPr>
        <w:t>VI</w:t>
      </w:r>
      <w:r w:rsidRPr="005D606F">
        <w:rPr>
          <w:rFonts w:ascii="Times New Roman" w:hAnsi="Times New Roman"/>
          <w:sz w:val="28"/>
          <w:szCs w:val="28"/>
        </w:rPr>
        <w:t xml:space="preserve"> Технічного регламенту класифікації небезпечності, маркування хімічної продукції, затвердженого </w:t>
      </w:r>
      <w:r>
        <w:rPr>
          <w:rFonts w:ascii="Times New Roman" w:hAnsi="Times New Roman"/>
          <w:sz w:val="28"/>
          <w:szCs w:val="28"/>
        </w:rPr>
        <w:t>п</w:t>
      </w:r>
      <w:r w:rsidRPr="005D606F">
        <w:rPr>
          <w:rFonts w:ascii="Times New Roman" w:hAnsi="Times New Roman"/>
          <w:sz w:val="28"/>
          <w:szCs w:val="28"/>
        </w:rPr>
        <w:t>остановою Кабінету Міністрів України</w:t>
      </w:r>
      <w:r w:rsidR="006253ED">
        <w:rPr>
          <w:rFonts w:ascii="Times New Roman" w:hAnsi="Times New Roman"/>
          <w:sz w:val="28"/>
          <w:szCs w:val="28"/>
        </w:rPr>
        <w:t xml:space="preserve"> від 10 травня 2024 р.</w:t>
      </w:r>
      <w:r w:rsidRPr="005D606F">
        <w:rPr>
          <w:rFonts w:ascii="Times New Roman" w:hAnsi="Times New Roman"/>
          <w:sz w:val="28"/>
          <w:szCs w:val="28"/>
        </w:rPr>
        <w:t xml:space="preserve"> № 539</w:t>
      </w:r>
      <w:r w:rsidRPr="00BD3912">
        <w:rPr>
          <w:rFonts w:ascii="Times New Roman" w:hAnsi="Times New Roman"/>
          <w:sz w:val="28"/>
          <w:szCs w:val="28"/>
        </w:rPr>
        <w:t>.</w:t>
      </w:r>
    </w:p>
    <w:p w:rsidR="00CD7E00" w:rsidRPr="00155A73" w:rsidRDefault="00CD7E00" w:rsidP="00CD7E0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155A73">
        <w:rPr>
          <w:rFonts w:ascii="Times New Roman" w:hAnsi="Times New Roman"/>
          <w:sz w:val="28"/>
          <w:szCs w:val="28"/>
        </w:rPr>
        <w:lastRenderedPageBreak/>
        <w:t xml:space="preserve">Прийняття </w:t>
      </w:r>
      <w:r>
        <w:rPr>
          <w:rFonts w:ascii="Times New Roman" w:hAnsi="Times New Roman"/>
          <w:sz w:val="28"/>
          <w:szCs w:val="28"/>
        </w:rPr>
        <w:t xml:space="preserve">проєкту </w:t>
      </w:r>
      <w:r w:rsidRPr="00155A73">
        <w:rPr>
          <w:rFonts w:ascii="Times New Roman" w:hAnsi="Times New Roman"/>
          <w:sz w:val="28"/>
          <w:szCs w:val="28"/>
          <w:lang w:eastAsia="ru-RU"/>
        </w:rPr>
        <w:t>регуляторного акта</w:t>
      </w:r>
      <w:r w:rsidRPr="00155A73">
        <w:rPr>
          <w:rFonts w:ascii="Times New Roman" w:hAnsi="Times New Roman"/>
          <w:sz w:val="28"/>
          <w:szCs w:val="28"/>
        </w:rPr>
        <w:t xml:space="preserve"> дасть змогу:</w:t>
      </w:r>
    </w:p>
    <w:p w:rsidR="00CD7E00" w:rsidRPr="00155A73" w:rsidRDefault="00CD7E00" w:rsidP="00CD7E0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155A73">
        <w:rPr>
          <w:rFonts w:ascii="Times New Roman" w:hAnsi="Times New Roman"/>
          <w:sz w:val="28"/>
          <w:szCs w:val="28"/>
        </w:rPr>
        <w:t>виконати вимоги статті 25</w:t>
      </w:r>
      <w:r>
        <w:rPr>
          <w:rFonts w:ascii="Times New Roman" w:hAnsi="Times New Roman"/>
          <w:sz w:val="28"/>
          <w:szCs w:val="28"/>
        </w:rPr>
        <w:t xml:space="preserve"> Закону</w:t>
      </w:r>
      <w:r w:rsidRPr="00155A73">
        <w:rPr>
          <w:rFonts w:ascii="Times New Roman" w:hAnsi="Times New Roman"/>
          <w:sz w:val="28"/>
          <w:szCs w:val="28"/>
        </w:rPr>
        <w:t xml:space="preserve"> щодо припинення експлуатації установки та/або використання промислового майданчика чи його частини;</w:t>
      </w:r>
    </w:p>
    <w:p w:rsidR="00CD7E00" w:rsidRPr="00155A73" w:rsidRDefault="00CD7E00" w:rsidP="00CD7E0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155A73">
        <w:rPr>
          <w:rFonts w:ascii="Times New Roman" w:hAnsi="Times New Roman"/>
          <w:sz w:val="28"/>
          <w:szCs w:val="28"/>
        </w:rPr>
        <w:t xml:space="preserve">встановити основні вимоги до змісту базового звіту та оцінки стану забруднення земель та підземних вод, передбачених статтями 4, 25 та </w:t>
      </w:r>
      <w:r>
        <w:rPr>
          <w:rFonts w:ascii="Times New Roman" w:hAnsi="Times New Roman"/>
          <w:sz w:val="28"/>
          <w:szCs w:val="28"/>
        </w:rPr>
        <w:br/>
      </w:r>
      <w:r w:rsidRPr="00155A73">
        <w:rPr>
          <w:rFonts w:ascii="Times New Roman" w:hAnsi="Times New Roman"/>
          <w:sz w:val="28"/>
          <w:szCs w:val="28"/>
        </w:rPr>
        <w:t>26 Закону;</w:t>
      </w:r>
    </w:p>
    <w:p w:rsidR="00CD7E00" w:rsidRPr="00155A73" w:rsidRDefault="00CD7E00" w:rsidP="00CD7E0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155A73">
        <w:rPr>
          <w:rFonts w:ascii="Times New Roman" w:hAnsi="Times New Roman"/>
          <w:sz w:val="28"/>
          <w:szCs w:val="28"/>
        </w:rPr>
        <w:t>забезпечити здійснення оцінки стану забруднення земель та підземних вод релевантними небезпечними речовинами на момент припинення експлуатації установки та/або використання промислового майданчика або його частини, порівняння його у кількісній формі із станом забруднення земель та підземних вод релевантними небезпечними речовинами на момент складання базового звіту та визначення обсягу обов’язків оператора установки із усунення забруднення з тим, щоб повернути промисловий майданчик до стану, зазначеного в базовому звіті;</w:t>
      </w:r>
    </w:p>
    <w:p w:rsidR="00CD7E00" w:rsidRPr="00155A73" w:rsidRDefault="00CD7E00" w:rsidP="00CD7E00">
      <w:pPr>
        <w:pStyle w:val="af5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A73">
        <w:rPr>
          <w:rFonts w:ascii="Times New Roman" w:hAnsi="Times New Roman"/>
          <w:sz w:val="28"/>
          <w:szCs w:val="28"/>
        </w:rPr>
        <w:t>створити сприятливі умови для забезпечення прозорості поводження з небезпечними речовинами, які використовуються, виробляються або вивільняються під час провадження на установках видів діяльності, визначених Законом, та які в силу своїх характеристик могли або можуть спричинити забруднення земель та/або підземних вод.</w:t>
      </w:r>
    </w:p>
    <w:p w:rsidR="00CD7E00" w:rsidRPr="00155A73" w:rsidRDefault="00CD7E00" w:rsidP="00CD7E0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155A73">
        <w:rPr>
          <w:rFonts w:ascii="Times New Roman" w:hAnsi="Times New Roman"/>
          <w:sz w:val="28"/>
          <w:szCs w:val="28"/>
        </w:rPr>
        <w:t xml:space="preserve">Заходи, які мають здійснити органи </w:t>
      </w:r>
      <w:r w:rsidR="003627DC">
        <w:rPr>
          <w:rFonts w:ascii="Times New Roman" w:hAnsi="Times New Roman"/>
          <w:sz w:val="28"/>
          <w:szCs w:val="28"/>
        </w:rPr>
        <w:t xml:space="preserve">державної </w:t>
      </w:r>
      <w:r w:rsidRPr="00155A73">
        <w:rPr>
          <w:rFonts w:ascii="Times New Roman" w:hAnsi="Times New Roman"/>
          <w:sz w:val="28"/>
          <w:szCs w:val="28"/>
        </w:rPr>
        <w:t xml:space="preserve">влади для впровадження цього </w:t>
      </w:r>
      <w:r w:rsidRPr="00155A73">
        <w:rPr>
          <w:rFonts w:ascii="Times New Roman" w:hAnsi="Times New Roman"/>
          <w:sz w:val="28"/>
          <w:szCs w:val="28"/>
          <w:lang w:eastAsia="ru-RU"/>
        </w:rPr>
        <w:t>регуляторного акта</w:t>
      </w:r>
      <w:r w:rsidRPr="00155A73">
        <w:rPr>
          <w:rFonts w:ascii="Times New Roman" w:hAnsi="Times New Roman"/>
          <w:sz w:val="28"/>
          <w:szCs w:val="28"/>
        </w:rPr>
        <w:t xml:space="preserve">: </w:t>
      </w:r>
    </w:p>
    <w:p w:rsidR="00CD7E00" w:rsidRPr="00155A73" w:rsidRDefault="00CD7E00" w:rsidP="00CD7E0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155A73">
        <w:rPr>
          <w:rFonts w:ascii="Times New Roman" w:hAnsi="Times New Roman"/>
          <w:sz w:val="28"/>
          <w:szCs w:val="28"/>
        </w:rPr>
        <w:t>забезпечити інформування громадськості про вимоги проєкту регуляторного акта</w:t>
      </w:r>
      <w:r>
        <w:rPr>
          <w:rFonts w:ascii="Times New Roman" w:hAnsi="Times New Roman"/>
          <w:sz w:val="28"/>
          <w:szCs w:val="28"/>
        </w:rPr>
        <w:t>,</w:t>
      </w:r>
      <w:r w:rsidRPr="00155A73">
        <w:rPr>
          <w:rFonts w:ascii="Times New Roman" w:hAnsi="Times New Roman"/>
          <w:sz w:val="28"/>
          <w:szCs w:val="28"/>
        </w:rPr>
        <w:t xml:space="preserve"> шляхом його оприлюднення в мережі Інтернет – на офіційному </w:t>
      </w:r>
      <w:proofErr w:type="spellStart"/>
      <w:r w:rsidRPr="00155A73">
        <w:rPr>
          <w:rFonts w:ascii="Times New Roman" w:hAnsi="Times New Roman"/>
          <w:sz w:val="28"/>
          <w:szCs w:val="28"/>
        </w:rPr>
        <w:t>вебсайті</w:t>
      </w:r>
      <w:proofErr w:type="spellEnd"/>
      <w:r w:rsidRPr="00155A73">
        <w:rPr>
          <w:rFonts w:ascii="Times New Roman" w:hAnsi="Times New Roman"/>
          <w:sz w:val="28"/>
          <w:szCs w:val="28"/>
        </w:rPr>
        <w:t xml:space="preserve"> </w:t>
      </w:r>
      <w:r w:rsidR="003627DC">
        <w:rPr>
          <w:rFonts w:ascii="Times New Roman" w:hAnsi="Times New Roman"/>
          <w:sz w:val="28"/>
          <w:szCs w:val="28"/>
        </w:rPr>
        <w:t>Міндовкілля</w:t>
      </w:r>
      <w:r w:rsidRPr="00155A73">
        <w:rPr>
          <w:rFonts w:ascii="Times New Roman" w:hAnsi="Times New Roman"/>
          <w:sz w:val="28"/>
          <w:szCs w:val="28"/>
        </w:rPr>
        <w:t xml:space="preserve">; </w:t>
      </w:r>
    </w:p>
    <w:p w:rsidR="00CD7E00" w:rsidRPr="00155A73" w:rsidRDefault="00CD7E00" w:rsidP="00CD7E00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155A73">
        <w:rPr>
          <w:rFonts w:ascii="Times New Roman" w:hAnsi="Times New Roman"/>
          <w:sz w:val="28"/>
          <w:szCs w:val="28"/>
        </w:rPr>
        <w:t xml:space="preserve">здійснити погодження проєкту </w:t>
      </w:r>
      <w:r w:rsidRPr="00155A73">
        <w:rPr>
          <w:rFonts w:ascii="Times New Roman" w:hAnsi="Times New Roman"/>
          <w:sz w:val="28"/>
          <w:szCs w:val="28"/>
          <w:lang w:eastAsia="uk-UA"/>
        </w:rPr>
        <w:t>регуляторного акта</w:t>
      </w:r>
      <w:r w:rsidRPr="00155A73">
        <w:rPr>
          <w:rFonts w:ascii="Times New Roman" w:hAnsi="Times New Roman"/>
          <w:sz w:val="28"/>
          <w:szCs w:val="28"/>
        </w:rPr>
        <w:t xml:space="preserve"> заінтересованими органами виконавчої влади. </w:t>
      </w:r>
    </w:p>
    <w:p w:rsidR="00CD7E00" w:rsidRPr="00BD3912" w:rsidRDefault="00CD7E00" w:rsidP="00CD7E00">
      <w:pPr>
        <w:pStyle w:val="ac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D7E00" w:rsidRPr="00BD3912" w:rsidRDefault="00CD7E00" w:rsidP="00CD7E0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BD391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VI. Оцінка виконання вимог </w:t>
      </w:r>
      <w:r w:rsidRPr="00BD3912">
        <w:rPr>
          <w:rFonts w:ascii="Times New Roman" w:hAnsi="Times New Roman"/>
          <w:b/>
          <w:sz w:val="28"/>
          <w:szCs w:val="28"/>
        </w:rPr>
        <w:t xml:space="preserve">проєкту </w:t>
      </w:r>
      <w:r w:rsidRPr="00BD3912">
        <w:rPr>
          <w:rFonts w:ascii="Times New Roman" w:hAnsi="Times New Roman"/>
          <w:b/>
          <w:sz w:val="28"/>
          <w:szCs w:val="28"/>
          <w:lang w:eastAsia="ru-RU"/>
        </w:rPr>
        <w:t>регуляторного акта</w:t>
      </w:r>
      <w:r w:rsidRPr="00BD391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CD7E00" w:rsidRPr="00BD3912" w:rsidRDefault="00CD7E00" w:rsidP="00CD7E00">
      <w:pPr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/>
          <w:sz w:val="28"/>
          <w:szCs w:val="28"/>
        </w:rPr>
      </w:pPr>
      <w:r w:rsidRPr="00BD3912">
        <w:rPr>
          <w:rFonts w:ascii="Times New Roman" w:hAnsi="Times New Roman"/>
          <w:sz w:val="28"/>
          <w:szCs w:val="28"/>
        </w:rPr>
        <w:t xml:space="preserve">Реалізація </w:t>
      </w:r>
      <w:r w:rsidRPr="00BD3912">
        <w:rPr>
          <w:rFonts w:ascii="Times New Roman" w:hAnsi="Times New Roman"/>
          <w:sz w:val="28"/>
          <w:szCs w:val="28"/>
          <w:lang w:eastAsia="ru-RU"/>
        </w:rPr>
        <w:t>регуляторного акта</w:t>
      </w:r>
      <w:r w:rsidRPr="00BD3912">
        <w:rPr>
          <w:rFonts w:ascii="Times New Roman" w:hAnsi="Times New Roman"/>
          <w:sz w:val="28"/>
          <w:szCs w:val="28"/>
        </w:rPr>
        <w:t xml:space="preserve"> не передбачає додаткових фінансових витрат з коштів державного бюджету. Прийняття регуляторного акта забезпечує затвердження </w:t>
      </w:r>
      <w:r>
        <w:rPr>
          <w:rFonts w:ascii="Times New Roman" w:hAnsi="Times New Roman"/>
          <w:sz w:val="28"/>
          <w:szCs w:val="28"/>
        </w:rPr>
        <w:t>форми</w:t>
      </w:r>
      <w:r w:rsidRPr="00BD3912">
        <w:rPr>
          <w:rFonts w:ascii="Times New Roman" w:hAnsi="Times New Roman"/>
          <w:sz w:val="28"/>
          <w:szCs w:val="28"/>
        </w:rPr>
        <w:t xml:space="preserve"> та вимоги до змісту базового звіту, який є основою для оці</w:t>
      </w:r>
      <w:r>
        <w:rPr>
          <w:rFonts w:ascii="Times New Roman" w:hAnsi="Times New Roman"/>
          <w:sz w:val="28"/>
          <w:szCs w:val="28"/>
        </w:rPr>
        <w:t xml:space="preserve">нки екологічного стану об'єкта, </w:t>
      </w:r>
      <w:r w:rsidRPr="00BD3912">
        <w:rPr>
          <w:rFonts w:ascii="Times New Roman" w:hAnsi="Times New Roman"/>
          <w:sz w:val="28"/>
          <w:szCs w:val="28"/>
        </w:rPr>
        <w:t>методики оцінки стану забруднення земель та підземних вод, що дозволить об'єктивно в</w:t>
      </w:r>
      <w:r>
        <w:rPr>
          <w:rFonts w:ascii="Times New Roman" w:hAnsi="Times New Roman"/>
          <w:sz w:val="28"/>
          <w:szCs w:val="28"/>
        </w:rPr>
        <w:t xml:space="preserve">изначати рівень небезпеки та визначення </w:t>
      </w:r>
      <w:r w:rsidRPr="00BD3912">
        <w:rPr>
          <w:rFonts w:ascii="Times New Roman" w:hAnsi="Times New Roman"/>
          <w:sz w:val="28"/>
          <w:szCs w:val="28"/>
        </w:rPr>
        <w:t>небезпечних речовин, які підлягають особливому контролю.</w:t>
      </w:r>
    </w:p>
    <w:p w:rsidR="00CD7E00" w:rsidRPr="00BD3912" w:rsidRDefault="00CD7E00" w:rsidP="00CD7E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зв’язку з чим,</w:t>
      </w:r>
      <w:r w:rsidRPr="00BD3912">
        <w:rPr>
          <w:rFonts w:ascii="Times New Roman" w:hAnsi="Times New Roman"/>
          <w:sz w:val="28"/>
          <w:szCs w:val="28"/>
        </w:rPr>
        <w:t xml:space="preserve"> не наводиться інформація щодо бюджетних витрат на адміністрування регулювання для суб’єктів великого і середнього підприємництва, яка передбачена додатком 3 до Методики проведення аналізу впливу регуляторного акта.</w:t>
      </w:r>
    </w:p>
    <w:p w:rsidR="00CD7E00" w:rsidRPr="00BD3912" w:rsidRDefault="003627DC" w:rsidP="00CD7E00">
      <w:pPr>
        <w:widowControl w:val="0"/>
        <w:spacing w:after="0" w:line="240" w:lineRule="auto"/>
        <w:ind w:right="-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Бюджетні в</w:t>
      </w:r>
      <w:r w:rsidR="00CD7E00" w:rsidRPr="00BD3912">
        <w:rPr>
          <w:rFonts w:ascii="Times New Roman" w:hAnsi="Times New Roman"/>
          <w:sz w:val="28"/>
          <w:szCs w:val="28"/>
        </w:rPr>
        <w:t>итрати на виконання вимог регуляторного акта з боку органів виконавчої влади або органів місцевого самоврядування відсутні, оскільки не запроваджуються нові адміністративні збори і платежі.</w:t>
      </w:r>
    </w:p>
    <w:p w:rsidR="00CD7E00" w:rsidRPr="00BD3912" w:rsidRDefault="00CD7E00" w:rsidP="00CD7E00">
      <w:pPr>
        <w:widowControl w:val="0"/>
        <w:spacing w:after="0" w:line="240" w:lineRule="auto"/>
        <w:ind w:right="-4" w:firstLine="567"/>
        <w:jc w:val="both"/>
        <w:rPr>
          <w:rFonts w:ascii="Times New Roman" w:hAnsi="Times New Roman"/>
          <w:sz w:val="28"/>
          <w:szCs w:val="28"/>
        </w:rPr>
      </w:pPr>
      <w:r w:rsidRPr="00BD3912">
        <w:rPr>
          <w:rFonts w:ascii="Times New Roman" w:hAnsi="Times New Roman"/>
          <w:sz w:val="28"/>
          <w:szCs w:val="28"/>
        </w:rPr>
        <w:lastRenderedPageBreak/>
        <w:t>Бюджетні витрати, що безпосередньо пов’язані з реалізацією акта, відсутні.</w:t>
      </w:r>
    </w:p>
    <w:p w:rsidR="00CD7E00" w:rsidRPr="00BD3912" w:rsidRDefault="00CD7E00" w:rsidP="00CD7E00">
      <w:pPr>
        <w:widowControl w:val="0"/>
        <w:spacing w:after="0" w:line="240" w:lineRule="auto"/>
        <w:ind w:right="-4" w:firstLine="567"/>
        <w:jc w:val="both"/>
        <w:rPr>
          <w:rFonts w:ascii="Times New Roman" w:hAnsi="Times New Roman"/>
          <w:sz w:val="28"/>
          <w:szCs w:val="28"/>
        </w:rPr>
      </w:pPr>
      <w:r w:rsidRPr="00BD3912">
        <w:rPr>
          <w:rFonts w:ascii="Times New Roman" w:hAnsi="Times New Roman"/>
          <w:sz w:val="28"/>
          <w:szCs w:val="28"/>
        </w:rPr>
        <w:t>Витрати органів державної влади на впровадження регуляторного акта здійснюватимуться за рахунок раціонального використання наявних матеріально-технічних ресурсів та перерозподілу наявних трудових ресурсів у процесі державного управління. Додаткових витрат з державного бюджету не потребує.</w:t>
      </w:r>
    </w:p>
    <w:p w:rsidR="00CD7E00" w:rsidRPr="00BD3912" w:rsidRDefault="00CD7E00" w:rsidP="00CD7E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3912">
        <w:rPr>
          <w:rFonts w:ascii="Times New Roman" w:hAnsi="Times New Roman"/>
          <w:sz w:val="28"/>
          <w:szCs w:val="28"/>
        </w:rPr>
        <w:t xml:space="preserve">Прийняття </w:t>
      </w:r>
      <w:r w:rsidRPr="00BD3912">
        <w:rPr>
          <w:rFonts w:ascii="Times New Roman" w:hAnsi="Times New Roman"/>
          <w:sz w:val="28"/>
          <w:szCs w:val="28"/>
          <w:lang w:eastAsia="ru-RU"/>
        </w:rPr>
        <w:t>проєкту регуляторного акта</w:t>
      </w:r>
      <w:r w:rsidRPr="00BD39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912">
        <w:rPr>
          <w:rFonts w:ascii="Times New Roman" w:hAnsi="Times New Roman"/>
          <w:sz w:val="28"/>
          <w:szCs w:val="28"/>
        </w:rPr>
        <w:t>надасть</w:t>
      </w:r>
      <w:proofErr w:type="spellEnd"/>
      <w:r w:rsidRPr="00BD3912">
        <w:rPr>
          <w:rFonts w:ascii="Times New Roman" w:hAnsi="Times New Roman"/>
          <w:sz w:val="28"/>
          <w:szCs w:val="28"/>
        </w:rPr>
        <w:t xml:space="preserve"> можливість забезпечити всі сфери інтересів, зокрема таких груп, як суб’єкти господарювання, громадяни, інтереси держави.</w:t>
      </w:r>
    </w:p>
    <w:p w:rsidR="00CD7E00" w:rsidRPr="00BD3912" w:rsidRDefault="00CD7E00" w:rsidP="00CD7E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3912">
        <w:rPr>
          <w:rFonts w:ascii="Times New Roman" w:hAnsi="Times New Roman"/>
          <w:sz w:val="28"/>
          <w:szCs w:val="28"/>
        </w:rPr>
        <w:t xml:space="preserve">Ризику впливу зовнішніх факторів на дію регуляторного акта немає. </w:t>
      </w:r>
    </w:p>
    <w:p w:rsidR="00CD7E00" w:rsidRPr="00BD3912" w:rsidRDefault="00CD7E00" w:rsidP="00CD7E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3912">
        <w:rPr>
          <w:rFonts w:ascii="Times New Roman" w:hAnsi="Times New Roman"/>
          <w:sz w:val="28"/>
          <w:szCs w:val="28"/>
        </w:rPr>
        <w:t xml:space="preserve">Досягнення цілей не передбачає додаткових організаційних заходів. Прийняття проєкту регуляторного акта не призведе до неочікуваних результатів і не потребуватиме додаткових витрат з державного бюджету. </w:t>
      </w:r>
    </w:p>
    <w:p w:rsidR="00CD7E00" w:rsidRPr="00BD3912" w:rsidRDefault="00CD7E00" w:rsidP="00CD7E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3912">
        <w:rPr>
          <w:rFonts w:ascii="Times New Roman" w:hAnsi="Times New Roman"/>
          <w:sz w:val="28"/>
          <w:szCs w:val="28"/>
        </w:rPr>
        <w:t xml:space="preserve">Можлива шкода у разі очікуваних наслідків дії регуляторного акта не прогнозується. </w:t>
      </w:r>
    </w:p>
    <w:p w:rsidR="00CD7E00" w:rsidRDefault="00CD7E00" w:rsidP="00CD7E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3912">
        <w:rPr>
          <w:rFonts w:ascii="Times New Roman" w:hAnsi="Times New Roman"/>
          <w:sz w:val="28"/>
          <w:szCs w:val="28"/>
        </w:rPr>
        <w:t xml:space="preserve">З боку суб’єктів господарювання відсутня необхідність вчинення додаткових дій, окрім витрат на ознайомлення з вимогами регулювання, підготовку </w:t>
      </w:r>
      <w:r>
        <w:rPr>
          <w:rFonts w:ascii="Times New Roman" w:hAnsi="Times New Roman"/>
          <w:sz w:val="28"/>
          <w:szCs w:val="28"/>
        </w:rPr>
        <w:t>і складання відповідних документів</w:t>
      </w:r>
      <w:r w:rsidRPr="00BD3912">
        <w:rPr>
          <w:rFonts w:ascii="Times New Roman" w:hAnsi="Times New Roman"/>
          <w:sz w:val="28"/>
          <w:szCs w:val="28"/>
        </w:rPr>
        <w:t>.</w:t>
      </w:r>
    </w:p>
    <w:p w:rsidR="00CD7E00" w:rsidRDefault="00557D38" w:rsidP="00CD7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F24">
        <w:rPr>
          <w:rFonts w:ascii="Times New Roman" w:hAnsi="Times New Roman"/>
          <w:sz w:val="28"/>
          <w:szCs w:val="28"/>
        </w:rPr>
        <w:t xml:space="preserve">Тест малого підприємництва (М-Тест) (додаток 4 до Методики проведення аналізу впливу регуляторного акта, затвердженої постановою Кабінету Міністрів України від 11 березня 2004 року № 308) не проводився у зв’язку з тим, що новим регулюванням не передбачено витрат для суб’єктів малого та </w:t>
      </w:r>
      <w:proofErr w:type="spellStart"/>
      <w:r w:rsidRPr="00872F24">
        <w:rPr>
          <w:rFonts w:ascii="Times New Roman" w:hAnsi="Times New Roman"/>
          <w:sz w:val="28"/>
          <w:szCs w:val="28"/>
        </w:rPr>
        <w:t>мікропідприємництва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57D38" w:rsidRPr="00BD3912" w:rsidRDefault="00557D38" w:rsidP="00CD7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E00" w:rsidRPr="00ED1D90" w:rsidRDefault="00CD7E00" w:rsidP="00CD7E0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D391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VII. </w:t>
      </w:r>
      <w:r w:rsidRPr="00BD3912">
        <w:rPr>
          <w:rFonts w:ascii="Times New Roman" w:hAnsi="Times New Roman"/>
          <w:b/>
          <w:sz w:val="28"/>
          <w:szCs w:val="28"/>
          <w:lang w:eastAsia="ru-RU"/>
        </w:rPr>
        <w:t>Обґрунтування запропонованого строку дії регуляторного акта</w:t>
      </w:r>
    </w:p>
    <w:p w:rsidR="00CD7E00" w:rsidRPr="00BD3912" w:rsidRDefault="00CD7E00" w:rsidP="00CD7E00">
      <w:pPr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D3912">
        <w:rPr>
          <w:rFonts w:ascii="Times New Roman" w:hAnsi="Times New Roman"/>
          <w:sz w:val="28"/>
          <w:szCs w:val="28"/>
          <w:lang w:eastAsia="uk-UA"/>
        </w:rPr>
        <w:t xml:space="preserve">Строк дії регуляторного акта </w:t>
      </w:r>
      <w:r w:rsidR="003627DC">
        <w:rPr>
          <w:rFonts w:ascii="Times New Roman" w:hAnsi="Times New Roman"/>
          <w:sz w:val="28"/>
          <w:szCs w:val="28"/>
          <w:lang w:eastAsia="uk-UA"/>
        </w:rPr>
        <w:t>встановлюється на необмежений термін</w:t>
      </w:r>
      <w:r w:rsidRPr="00BD3912"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CD7E00" w:rsidRPr="00BD3912" w:rsidRDefault="00CD7E00" w:rsidP="00CD7E00">
      <w:pPr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D3912">
        <w:rPr>
          <w:rFonts w:ascii="Times New Roman" w:hAnsi="Times New Roman"/>
          <w:sz w:val="28"/>
          <w:szCs w:val="28"/>
          <w:lang w:eastAsia="uk-UA"/>
        </w:rPr>
        <w:t xml:space="preserve">Зміна строку дії регуляторного акта можлива в разі зміни міжнародно-правових актів чи законодавчих актів України вищої юридичної сили, на виконання яких розроблений цей </w:t>
      </w:r>
      <w:proofErr w:type="spellStart"/>
      <w:r w:rsidRPr="00BD3912">
        <w:rPr>
          <w:rFonts w:ascii="Times New Roman" w:hAnsi="Times New Roman"/>
          <w:sz w:val="28"/>
          <w:szCs w:val="28"/>
          <w:lang w:eastAsia="uk-UA"/>
        </w:rPr>
        <w:t>проєкт</w:t>
      </w:r>
      <w:proofErr w:type="spellEnd"/>
      <w:r w:rsidRPr="00BD3912">
        <w:rPr>
          <w:rFonts w:ascii="Times New Roman" w:hAnsi="Times New Roman"/>
          <w:sz w:val="28"/>
          <w:szCs w:val="28"/>
          <w:lang w:eastAsia="uk-UA"/>
        </w:rPr>
        <w:t xml:space="preserve"> регуляторного акта.</w:t>
      </w:r>
    </w:p>
    <w:p w:rsidR="00CD7E00" w:rsidRPr="00BD3912" w:rsidRDefault="00CD7E00" w:rsidP="00CD7E00">
      <w:pPr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D3912">
        <w:rPr>
          <w:rFonts w:ascii="Times New Roman" w:hAnsi="Times New Roman"/>
          <w:sz w:val="28"/>
          <w:szCs w:val="28"/>
          <w:lang w:eastAsia="uk-UA"/>
        </w:rPr>
        <w:t>Проєкт</w:t>
      </w:r>
      <w:proofErr w:type="spellEnd"/>
      <w:r w:rsidRPr="00BD3912">
        <w:rPr>
          <w:rFonts w:ascii="Times New Roman" w:hAnsi="Times New Roman"/>
          <w:sz w:val="28"/>
          <w:szCs w:val="28"/>
          <w:lang w:eastAsia="uk-UA"/>
        </w:rPr>
        <w:t xml:space="preserve"> регуляторного акта набирає чинності </w:t>
      </w:r>
      <w:r w:rsidRPr="00BD3912">
        <w:rPr>
          <w:rStyle w:val="docdata"/>
          <w:rFonts w:ascii="Times New Roman" w:hAnsi="Times New Roman"/>
          <w:color w:val="000000"/>
          <w:sz w:val="28"/>
          <w:szCs w:val="28"/>
        </w:rPr>
        <w:t>одночасно із Законом України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3912">
        <w:rPr>
          <w:rFonts w:ascii="Times New Roman" w:hAnsi="Times New Roman"/>
          <w:color w:val="000000"/>
          <w:sz w:val="28"/>
          <w:szCs w:val="28"/>
        </w:rPr>
        <w:t>«Про інтегроване запобігання та контроль промислового забруднення», але не раніше дня його опублікування.</w:t>
      </w:r>
    </w:p>
    <w:p w:rsidR="00CD7E00" w:rsidRPr="00BD3912" w:rsidRDefault="00CD7E00" w:rsidP="00CD7E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CD7E00" w:rsidRPr="00ED1D90" w:rsidRDefault="00CD7E00" w:rsidP="00CD7E0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D391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VIII. </w:t>
      </w:r>
      <w:r w:rsidRPr="00BD3912">
        <w:rPr>
          <w:rFonts w:ascii="Times New Roman" w:hAnsi="Times New Roman"/>
          <w:b/>
          <w:sz w:val="28"/>
          <w:szCs w:val="28"/>
          <w:lang w:eastAsia="ru-RU"/>
        </w:rPr>
        <w:t>Визначення показників результативності дії регуляторного акта</w:t>
      </w:r>
    </w:p>
    <w:p w:rsidR="00CD7E00" w:rsidRPr="00155A73" w:rsidRDefault="00CD7E00" w:rsidP="00CD7E00">
      <w:pPr>
        <w:pStyle w:val="af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73">
        <w:rPr>
          <w:rFonts w:ascii="Times New Roman" w:hAnsi="Times New Roman"/>
          <w:sz w:val="28"/>
          <w:szCs w:val="28"/>
        </w:rPr>
        <w:t>Прогнозні значення показників результативності регуляторного акта встановлюються після набрання його чинності. Прогнозними значеннями показників результативності регуляторного акта є:</w:t>
      </w:r>
    </w:p>
    <w:p w:rsidR="00CD7E00" w:rsidRPr="00155A73" w:rsidRDefault="00CD7E00" w:rsidP="00CD7E00">
      <w:pPr>
        <w:pStyle w:val="af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73">
        <w:rPr>
          <w:rFonts w:ascii="Times New Roman" w:hAnsi="Times New Roman"/>
          <w:sz w:val="28"/>
          <w:szCs w:val="28"/>
          <w:lang w:eastAsia="ru-RU"/>
        </w:rPr>
        <w:t>розмір надходжень до державного та місцевих бюджетів і державних цільових фондів, пов’язаних із дією акта – не прогнозуються;</w:t>
      </w:r>
    </w:p>
    <w:p w:rsidR="00CD7E00" w:rsidRPr="00155A73" w:rsidRDefault="00CD7E00" w:rsidP="00CD7E00">
      <w:pPr>
        <w:pStyle w:val="af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73">
        <w:rPr>
          <w:rFonts w:ascii="Times New Roman" w:hAnsi="Times New Roman"/>
          <w:sz w:val="28"/>
          <w:szCs w:val="28"/>
        </w:rPr>
        <w:t>кількість суб’єктів господарювання та/або фізичних осіб, на які поширюватиметься дія акта, – умовно 1 суб’єкт господарювання;</w:t>
      </w:r>
    </w:p>
    <w:p w:rsidR="00CD7E00" w:rsidRPr="00675661" w:rsidRDefault="00CD7E00" w:rsidP="00CD7E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661">
        <w:rPr>
          <w:rFonts w:ascii="Times New Roman" w:hAnsi="Times New Roman"/>
          <w:sz w:val="28"/>
          <w:szCs w:val="28"/>
          <w:lang w:eastAsia="ru-RU"/>
        </w:rPr>
        <w:t>розмір коштів і час, які витрачаються суб’єктами господарювання, пов’язаними з виконанням вимог акта – за перший рік впровадження регулю</w:t>
      </w:r>
      <w:r w:rsidR="00781BA9">
        <w:rPr>
          <w:rFonts w:ascii="Times New Roman" w:hAnsi="Times New Roman"/>
          <w:sz w:val="28"/>
          <w:szCs w:val="28"/>
          <w:lang w:eastAsia="ru-RU"/>
        </w:rPr>
        <w:t>вання складатимуть 14267,26 гривень</w:t>
      </w:r>
      <w:r w:rsidRPr="00675661">
        <w:rPr>
          <w:rFonts w:ascii="Times New Roman" w:hAnsi="Times New Roman"/>
          <w:sz w:val="28"/>
          <w:szCs w:val="28"/>
          <w:lang w:eastAsia="ru-RU"/>
        </w:rPr>
        <w:t>, а загальні витрати за п</w:t>
      </w:r>
      <w:r w:rsidRPr="00675661">
        <w:rPr>
          <w:rFonts w:ascii="Times New Roman" w:hAnsi="Times New Roman"/>
          <w:sz w:val="28"/>
          <w:szCs w:val="28"/>
          <w:lang w:val="ru-RU" w:eastAsia="ru-RU"/>
        </w:rPr>
        <w:t>’</w:t>
      </w:r>
      <w:r w:rsidR="00781BA9">
        <w:rPr>
          <w:rFonts w:ascii="Times New Roman" w:hAnsi="Times New Roman"/>
          <w:sz w:val="28"/>
          <w:szCs w:val="28"/>
          <w:lang w:eastAsia="ru-RU"/>
        </w:rPr>
        <w:t>ять років – 71144,3 гривень</w:t>
      </w:r>
      <w:r w:rsidRPr="00675661">
        <w:rPr>
          <w:rFonts w:ascii="Times New Roman" w:hAnsi="Times New Roman"/>
          <w:sz w:val="28"/>
          <w:szCs w:val="28"/>
          <w:lang w:eastAsia="ru-RU"/>
        </w:rPr>
        <w:t>;</w:t>
      </w:r>
    </w:p>
    <w:p w:rsidR="00CD7E00" w:rsidRPr="00BD3912" w:rsidRDefault="00CD7E00" w:rsidP="00CD7E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D3912">
        <w:rPr>
          <w:rFonts w:ascii="Times New Roman" w:hAnsi="Times New Roman"/>
          <w:sz w:val="28"/>
          <w:szCs w:val="28"/>
          <w:lang w:eastAsia="uk-UA"/>
        </w:rPr>
        <w:lastRenderedPageBreak/>
        <w:t xml:space="preserve">5. Рівень поінформованості суб’єктів господарювання – високий. </w:t>
      </w:r>
      <w:proofErr w:type="spellStart"/>
      <w:r w:rsidRPr="00BD3912">
        <w:rPr>
          <w:rFonts w:ascii="Times New Roman" w:hAnsi="Times New Roman"/>
          <w:sz w:val="28"/>
          <w:szCs w:val="28"/>
          <w:lang w:eastAsia="uk-UA"/>
        </w:rPr>
        <w:t>Проєкт</w:t>
      </w:r>
      <w:proofErr w:type="spellEnd"/>
      <w:r w:rsidRPr="00BD391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D3912">
        <w:rPr>
          <w:rFonts w:ascii="Times New Roman" w:hAnsi="Times New Roman"/>
          <w:sz w:val="28"/>
          <w:szCs w:val="28"/>
          <w:lang w:eastAsia="ru-RU"/>
        </w:rPr>
        <w:t>регуляторного акта</w:t>
      </w:r>
      <w:r w:rsidRPr="00BD3912">
        <w:rPr>
          <w:rFonts w:ascii="Times New Roman" w:hAnsi="Times New Roman"/>
          <w:sz w:val="28"/>
          <w:szCs w:val="28"/>
          <w:lang w:eastAsia="uk-UA"/>
        </w:rPr>
        <w:t xml:space="preserve"> та аналіз регуляторного впливу розміщено на офіційному веб</w:t>
      </w:r>
      <w:r>
        <w:rPr>
          <w:rFonts w:ascii="Times New Roman" w:hAnsi="Times New Roman"/>
          <w:sz w:val="28"/>
          <w:szCs w:val="28"/>
          <w:lang w:eastAsia="uk-UA"/>
        </w:rPr>
        <w:t>-</w:t>
      </w:r>
      <w:r w:rsidRPr="00BD3912">
        <w:rPr>
          <w:rFonts w:ascii="Times New Roman" w:hAnsi="Times New Roman"/>
          <w:sz w:val="28"/>
          <w:szCs w:val="28"/>
          <w:lang w:eastAsia="uk-UA"/>
        </w:rPr>
        <w:t xml:space="preserve">сайті </w:t>
      </w:r>
      <w:r w:rsidR="00781BA9">
        <w:rPr>
          <w:rFonts w:ascii="Times New Roman" w:hAnsi="Times New Roman"/>
          <w:sz w:val="28"/>
          <w:szCs w:val="28"/>
          <w:lang w:eastAsia="uk-UA"/>
        </w:rPr>
        <w:t>Міндовкілля</w:t>
      </w:r>
      <w:r w:rsidRPr="00BD3912">
        <w:rPr>
          <w:rFonts w:ascii="Times New Roman" w:hAnsi="Times New Roman"/>
          <w:sz w:val="28"/>
          <w:szCs w:val="28"/>
          <w:lang w:eastAsia="uk-UA"/>
        </w:rPr>
        <w:t>.</w:t>
      </w:r>
    </w:p>
    <w:p w:rsidR="00CD7E00" w:rsidRPr="00BD3912" w:rsidRDefault="00CD7E00" w:rsidP="00CD7E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3912">
        <w:rPr>
          <w:rFonts w:ascii="Times New Roman" w:hAnsi="Times New Roman"/>
          <w:sz w:val="28"/>
          <w:szCs w:val="28"/>
        </w:rPr>
        <w:t>Додаткові показники результативності регуляторного акта:</w:t>
      </w:r>
    </w:p>
    <w:p w:rsidR="00CD7E00" w:rsidRPr="00675661" w:rsidRDefault="00CD7E00" w:rsidP="00CD7E00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D3912">
        <w:rPr>
          <w:rFonts w:ascii="Times New Roman" w:hAnsi="Times New Roman"/>
          <w:sz w:val="28"/>
          <w:szCs w:val="28"/>
          <w:lang w:eastAsia="uk-UA"/>
        </w:rPr>
        <w:t xml:space="preserve">кількість </w:t>
      </w:r>
      <w:r w:rsidR="00781BA9">
        <w:rPr>
          <w:rFonts w:ascii="Times New Roman" w:hAnsi="Times New Roman"/>
          <w:sz w:val="28"/>
          <w:szCs w:val="28"/>
          <w:lang w:eastAsia="uk-UA"/>
        </w:rPr>
        <w:t xml:space="preserve">розроблених </w:t>
      </w:r>
      <w:r>
        <w:rPr>
          <w:rFonts w:ascii="Times New Roman" w:hAnsi="Times New Roman"/>
          <w:sz w:val="28"/>
          <w:szCs w:val="28"/>
          <w:lang w:eastAsia="uk-UA"/>
        </w:rPr>
        <w:t>та поданих базових звітів</w:t>
      </w:r>
      <w:r w:rsidRPr="00675661">
        <w:rPr>
          <w:rFonts w:ascii="Times New Roman" w:hAnsi="Times New Roman"/>
          <w:sz w:val="28"/>
          <w:szCs w:val="28"/>
          <w:lang w:eastAsia="uk-UA"/>
        </w:rPr>
        <w:t xml:space="preserve">, та </w:t>
      </w:r>
      <w:r w:rsidRPr="00675661">
        <w:rPr>
          <w:rFonts w:ascii="Times New Roman" w:hAnsi="Times New Roman"/>
          <w:sz w:val="28"/>
          <w:szCs w:val="28"/>
          <w:lang w:eastAsia="ru-RU"/>
        </w:rPr>
        <w:t>оцінок стану забруднення земель та підземних вод.</w:t>
      </w:r>
    </w:p>
    <w:p w:rsidR="00CD7E00" w:rsidRPr="00BD3912" w:rsidRDefault="00CD7E00" w:rsidP="00CD7E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CD7E00" w:rsidRPr="00557D38" w:rsidRDefault="00CD7E00" w:rsidP="002B091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557D3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IX. Визначення заходів, за допомогою яких здійснюватиметься відстеження результативності дії </w:t>
      </w:r>
      <w:r w:rsidRPr="00557D38">
        <w:rPr>
          <w:rFonts w:ascii="Times New Roman" w:hAnsi="Times New Roman"/>
          <w:b/>
          <w:sz w:val="28"/>
          <w:szCs w:val="28"/>
        </w:rPr>
        <w:t xml:space="preserve">проєкту </w:t>
      </w:r>
      <w:r w:rsidRPr="00557D38">
        <w:rPr>
          <w:rFonts w:ascii="Times New Roman" w:hAnsi="Times New Roman"/>
          <w:b/>
          <w:sz w:val="28"/>
          <w:szCs w:val="28"/>
          <w:lang w:eastAsia="ru-RU"/>
        </w:rPr>
        <w:t>регуляторного акта</w:t>
      </w:r>
    </w:p>
    <w:p w:rsidR="002B0918" w:rsidRPr="00557D38" w:rsidRDefault="00CD7E00" w:rsidP="002B09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7D3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Відстеження результативності регуляторного акта здійснюватиметься </w:t>
      </w:r>
      <w:proofErr w:type="spellStart"/>
      <w:r w:rsidR="00781BA9" w:rsidRPr="00557D38">
        <w:rPr>
          <w:rFonts w:ascii="Times New Roman" w:hAnsi="Times New Roman"/>
          <w:bCs/>
          <w:sz w:val="28"/>
          <w:szCs w:val="28"/>
          <w:shd w:val="clear" w:color="auto" w:fill="FFFFFF"/>
        </w:rPr>
        <w:t>Міндовкіллям</w:t>
      </w:r>
      <w:proofErr w:type="spellEnd"/>
      <w:r w:rsidRPr="00557D38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2B0918" w:rsidRPr="00557D3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2B0918" w:rsidRPr="00557D38" w:rsidRDefault="002B0918" w:rsidP="002B09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7D38">
        <w:rPr>
          <w:rFonts w:ascii="Times New Roman" w:hAnsi="Times New Roman"/>
          <w:bCs/>
          <w:sz w:val="28"/>
          <w:szCs w:val="28"/>
          <w:shd w:val="clear" w:color="auto" w:fill="FFFFFF"/>
        </w:rPr>
        <w:t>Метод проведення відстеження результативності регуляторного акта – статистичний.</w:t>
      </w:r>
    </w:p>
    <w:p w:rsidR="001C7FB3" w:rsidRPr="00557D38" w:rsidRDefault="001C7FB3" w:rsidP="001C7F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7D38">
        <w:rPr>
          <w:rFonts w:ascii="Times New Roman" w:hAnsi="Times New Roman"/>
          <w:sz w:val="28"/>
          <w:szCs w:val="28"/>
        </w:rPr>
        <w:t xml:space="preserve">Базове відстеження результативності регуляторного акта буде проведено через рік після набрання чинності актом. </w:t>
      </w:r>
    </w:p>
    <w:p w:rsidR="001C7FB3" w:rsidRPr="00557D38" w:rsidRDefault="001C7FB3" w:rsidP="001C7F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7D38">
        <w:rPr>
          <w:rFonts w:ascii="Times New Roman" w:hAnsi="Times New Roman"/>
          <w:sz w:val="28"/>
          <w:szCs w:val="28"/>
        </w:rPr>
        <w:t>Повторне відстеження результативності регуляторного акта буде здійснено  через два роки після набрання чинності актом.</w:t>
      </w:r>
    </w:p>
    <w:p w:rsidR="002B0918" w:rsidRPr="00557D38" w:rsidRDefault="002B0918" w:rsidP="00CD7E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7D3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Періодичне відстеження виконуватиметься раз на три роки з дня закінчення заходів з повторного відстеження. </w:t>
      </w:r>
    </w:p>
    <w:p w:rsidR="001C7FB3" w:rsidRDefault="002B0918" w:rsidP="00CD7E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7D38">
        <w:rPr>
          <w:rFonts w:ascii="Times New Roman" w:hAnsi="Times New Roman"/>
          <w:bCs/>
          <w:sz w:val="28"/>
          <w:szCs w:val="28"/>
          <w:shd w:val="clear" w:color="auto" w:fill="FFFFFF"/>
        </w:rPr>
        <w:t>У разі виявлення неврегульованих та/або проблемних питань на підставі аналізу зауважень та пропозицій державних органів, суб’єктів господарювання ці питання будуть врегульовані шляхом внесення відповідних змін.</w:t>
      </w:r>
    </w:p>
    <w:p w:rsidR="00CD7E00" w:rsidRPr="00BD3912" w:rsidRDefault="00CD7E00" w:rsidP="00C164D9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164D9" w:rsidRPr="00C164D9" w:rsidRDefault="00781BA9" w:rsidP="00C164D9">
      <w:pPr>
        <w:tabs>
          <w:tab w:val="center" w:pos="4395"/>
          <w:tab w:val="right" w:pos="9498"/>
        </w:tabs>
        <w:autoSpaceDE w:val="0"/>
        <w:autoSpaceDN w:val="0"/>
        <w:adjustRightInd w:val="0"/>
        <w:spacing w:after="0" w:line="240" w:lineRule="auto"/>
        <w:ind w:right="-998" w:hanging="14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Міністр</w:t>
      </w:r>
      <w:r w:rsidR="00C164D9" w:rsidRPr="00C164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захисту довкілля </w:t>
      </w:r>
    </w:p>
    <w:p w:rsidR="00C164D9" w:rsidRPr="00C164D9" w:rsidRDefault="00C164D9" w:rsidP="00C164D9">
      <w:pPr>
        <w:tabs>
          <w:tab w:val="center" w:pos="4395"/>
          <w:tab w:val="right" w:pos="9498"/>
        </w:tabs>
        <w:autoSpaceDE w:val="0"/>
        <w:autoSpaceDN w:val="0"/>
        <w:adjustRightInd w:val="0"/>
        <w:spacing w:after="0" w:line="240" w:lineRule="auto"/>
        <w:ind w:right="-998" w:hanging="14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64D9">
        <w:rPr>
          <w:rFonts w:ascii="Times New Roman" w:hAnsi="Times New Roman"/>
          <w:b/>
          <w:bCs/>
          <w:sz w:val="28"/>
          <w:szCs w:val="28"/>
          <w:lang w:eastAsia="ru-RU"/>
        </w:rPr>
        <w:t>та природних ресурсів України</w:t>
      </w:r>
      <w:r w:rsidRPr="00C164D9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C164D9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 </w:t>
      </w:r>
      <w:r w:rsidR="00781BA9">
        <w:rPr>
          <w:rFonts w:ascii="Times New Roman" w:hAnsi="Times New Roman"/>
          <w:b/>
          <w:bCs/>
          <w:sz w:val="28"/>
          <w:szCs w:val="28"/>
          <w:lang w:eastAsia="ru-RU"/>
        </w:rPr>
        <w:t>Світлана ГРИНЧУК</w:t>
      </w:r>
    </w:p>
    <w:p w:rsidR="00DE5A28" w:rsidRPr="00DE5A28" w:rsidRDefault="00DE5A28" w:rsidP="00DE5A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5A28" w:rsidRPr="00DE5A28" w:rsidRDefault="00C164D9" w:rsidP="00DE5A28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</w:t>
      </w:r>
      <w:r w:rsidR="00DE5A28" w:rsidRPr="00DE5A28">
        <w:rPr>
          <w:rFonts w:ascii="Times New Roman" w:eastAsia="Calibri" w:hAnsi="Times New Roman"/>
          <w:sz w:val="28"/>
          <w:szCs w:val="28"/>
        </w:rPr>
        <w:t xml:space="preserve"> ____________ 202</w:t>
      </w:r>
      <w:r w:rsidR="00DE5A28">
        <w:rPr>
          <w:rFonts w:ascii="Times New Roman" w:eastAsia="Calibri" w:hAnsi="Times New Roman"/>
          <w:sz w:val="28"/>
          <w:szCs w:val="28"/>
        </w:rPr>
        <w:t>5</w:t>
      </w:r>
      <w:r w:rsidR="00DE5A28" w:rsidRPr="00DE5A28">
        <w:rPr>
          <w:rFonts w:ascii="Times New Roman" w:eastAsia="Calibri" w:hAnsi="Times New Roman"/>
          <w:sz w:val="28"/>
          <w:szCs w:val="28"/>
        </w:rPr>
        <w:t xml:space="preserve"> р.</w:t>
      </w:r>
    </w:p>
    <w:p w:rsidR="00CD7E00" w:rsidRDefault="00CD7E00" w:rsidP="00BD3912">
      <w:p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CD7E00" w:rsidRDefault="00CD7E00" w:rsidP="00BD3912">
      <w:p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BE5666" w:rsidRDefault="00BE5666" w:rsidP="00BD3912">
      <w:p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BE5666" w:rsidRDefault="00BE5666" w:rsidP="00BD3912">
      <w:p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BE5666" w:rsidRDefault="00BE5666" w:rsidP="00BD3912">
      <w:p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BE5666" w:rsidRDefault="00BE5666" w:rsidP="00BD3912">
      <w:p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BE5666" w:rsidRDefault="00BE5666" w:rsidP="00BD3912">
      <w:p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BE5666" w:rsidRDefault="00BE5666" w:rsidP="00BD3912">
      <w:p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</w:p>
    <w:p w:rsidR="00BE5666" w:rsidRDefault="00BE5666" w:rsidP="00BD3912">
      <w:p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2B0918" w:rsidRDefault="002B0918" w:rsidP="00BD3912">
      <w:p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2B0918" w:rsidRDefault="002B0918" w:rsidP="00BD3912">
      <w:p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2B0918" w:rsidRDefault="002B0918" w:rsidP="00BD3912">
      <w:p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BE5666" w:rsidRDefault="00BE5666" w:rsidP="00BD3912">
      <w:p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BD3912" w:rsidRPr="0062590B" w:rsidRDefault="00BD3912" w:rsidP="00BD3912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590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ВИТРАТИ</w:t>
      </w:r>
      <w:r w:rsidRPr="0062590B">
        <w:rPr>
          <w:rFonts w:ascii="Times New Roman" w:hAnsi="Times New Roman"/>
          <w:sz w:val="28"/>
          <w:szCs w:val="28"/>
          <w:lang w:eastAsia="ru-RU"/>
        </w:rPr>
        <w:br/>
      </w:r>
      <w:r w:rsidRPr="0062590B">
        <w:rPr>
          <w:rFonts w:ascii="Times New Roman" w:hAnsi="Times New Roman"/>
          <w:b/>
          <w:bCs/>
          <w:sz w:val="28"/>
          <w:szCs w:val="28"/>
          <w:lang w:eastAsia="ru-RU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9"/>
        <w:gridCol w:w="5886"/>
        <w:gridCol w:w="1182"/>
        <w:gridCol w:w="1182"/>
      </w:tblGrid>
      <w:tr w:rsidR="00BD3912" w:rsidRPr="00BD3912" w:rsidTr="005A060D">
        <w:trPr>
          <w:jc w:val="center"/>
        </w:trPr>
        <w:tc>
          <w:tcPr>
            <w:tcW w:w="729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n178"/>
            <w:bookmarkEnd w:id="1"/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Порядковий номер</w:t>
            </w:r>
          </w:p>
        </w:tc>
        <w:tc>
          <w:tcPr>
            <w:tcW w:w="3047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Витрати</w:t>
            </w:r>
          </w:p>
        </w:tc>
        <w:tc>
          <w:tcPr>
            <w:tcW w:w="612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За перший рік</w:t>
            </w:r>
          </w:p>
        </w:tc>
        <w:tc>
          <w:tcPr>
            <w:tcW w:w="612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За п’ять років</w:t>
            </w:r>
          </w:p>
        </w:tc>
      </w:tr>
      <w:tr w:rsidR="00BD3912" w:rsidRPr="00BD3912" w:rsidTr="005A060D">
        <w:trPr>
          <w:jc w:val="center"/>
        </w:trPr>
        <w:tc>
          <w:tcPr>
            <w:tcW w:w="729" w:type="pct"/>
            <w:hideMark/>
          </w:tcPr>
          <w:p w:rsidR="00BD3912" w:rsidRPr="00BD3912" w:rsidRDefault="00BD3912" w:rsidP="00BD391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7" w:type="pct"/>
            <w:hideMark/>
          </w:tcPr>
          <w:p w:rsidR="00BD3912" w:rsidRPr="00BD3912" w:rsidRDefault="00BD3912" w:rsidP="0062590B">
            <w:pPr>
              <w:spacing w:line="240" w:lineRule="auto"/>
              <w:ind w:right="187" w:firstLine="1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612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912" w:rsidRPr="00BD3912" w:rsidTr="005A060D">
        <w:trPr>
          <w:jc w:val="center"/>
        </w:trPr>
        <w:tc>
          <w:tcPr>
            <w:tcW w:w="729" w:type="pct"/>
            <w:hideMark/>
          </w:tcPr>
          <w:p w:rsidR="00BD3912" w:rsidRPr="00BD3912" w:rsidRDefault="00BD3912" w:rsidP="00BD391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7" w:type="pct"/>
            <w:hideMark/>
          </w:tcPr>
          <w:p w:rsidR="00BD3912" w:rsidRPr="00BD3912" w:rsidRDefault="00BD3912" w:rsidP="0062590B">
            <w:pPr>
              <w:spacing w:line="240" w:lineRule="auto"/>
              <w:ind w:right="187" w:firstLine="1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612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912" w:rsidRPr="00BD3912" w:rsidTr="005A060D">
        <w:trPr>
          <w:jc w:val="center"/>
        </w:trPr>
        <w:tc>
          <w:tcPr>
            <w:tcW w:w="729" w:type="pct"/>
            <w:hideMark/>
          </w:tcPr>
          <w:p w:rsidR="00BD3912" w:rsidRPr="00BD3912" w:rsidRDefault="00BD3912" w:rsidP="00BD391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7" w:type="pct"/>
            <w:hideMark/>
          </w:tcPr>
          <w:p w:rsidR="00BD3912" w:rsidRPr="00BD3912" w:rsidRDefault="00BD3912" w:rsidP="0062590B">
            <w:pPr>
              <w:spacing w:line="240" w:lineRule="auto"/>
              <w:ind w:right="187" w:firstLine="1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612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912" w:rsidRPr="00BD3912" w:rsidTr="005A060D">
        <w:trPr>
          <w:jc w:val="center"/>
        </w:trPr>
        <w:tc>
          <w:tcPr>
            <w:tcW w:w="729" w:type="pct"/>
            <w:hideMark/>
          </w:tcPr>
          <w:p w:rsidR="00BD3912" w:rsidRPr="00BD3912" w:rsidRDefault="00BD3912" w:rsidP="00BD391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7" w:type="pct"/>
            <w:hideMark/>
          </w:tcPr>
          <w:p w:rsidR="00BD3912" w:rsidRPr="00BD3912" w:rsidRDefault="00BD3912" w:rsidP="0062590B">
            <w:pPr>
              <w:spacing w:line="240" w:lineRule="auto"/>
              <w:ind w:right="187" w:firstLine="1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612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912" w:rsidRPr="00BD3912" w:rsidTr="005A060D">
        <w:trPr>
          <w:jc w:val="center"/>
        </w:trPr>
        <w:tc>
          <w:tcPr>
            <w:tcW w:w="729" w:type="pct"/>
            <w:hideMark/>
          </w:tcPr>
          <w:p w:rsidR="00BD3912" w:rsidRPr="00BD3912" w:rsidRDefault="00BD3912" w:rsidP="00BD391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7" w:type="pct"/>
            <w:hideMark/>
          </w:tcPr>
          <w:p w:rsidR="00BD3912" w:rsidRPr="00BD3912" w:rsidRDefault="00BD3912" w:rsidP="001B7103">
            <w:pPr>
              <w:spacing w:line="240" w:lineRule="auto"/>
              <w:ind w:right="187" w:firstLine="1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612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912" w:rsidRPr="00BD3912" w:rsidTr="005A060D">
        <w:trPr>
          <w:jc w:val="center"/>
        </w:trPr>
        <w:tc>
          <w:tcPr>
            <w:tcW w:w="729" w:type="pct"/>
            <w:hideMark/>
          </w:tcPr>
          <w:p w:rsidR="00BD3912" w:rsidRPr="00BD3912" w:rsidRDefault="00BD3912" w:rsidP="00BD391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7" w:type="pct"/>
            <w:hideMark/>
          </w:tcPr>
          <w:p w:rsidR="00BD3912" w:rsidRPr="00BD3912" w:rsidRDefault="00BD3912" w:rsidP="0062590B">
            <w:pPr>
              <w:spacing w:line="240" w:lineRule="auto"/>
              <w:ind w:right="187" w:firstLine="1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612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912" w:rsidRPr="00BD3912" w:rsidTr="005A060D">
        <w:trPr>
          <w:jc w:val="center"/>
        </w:trPr>
        <w:tc>
          <w:tcPr>
            <w:tcW w:w="729" w:type="pct"/>
            <w:hideMark/>
          </w:tcPr>
          <w:p w:rsidR="00BD3912" w:rsidRPr="00BD3912" w:rsidRDefault="00BD3912" w:rsidP="00BD391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7" w:type="pct"/>
            <w:hideMark/>
          </w:tcPr>
          <w:p w:rsidR="00BD3912" w:rsidRPr="00BD3912" w:rsidRDefault="00BD3912" w:rsidP="0062590B">
            <w:pPr>
              <w:spacing w:line="240" w:lineRule="auto"/>
              <w:ind w:right="187" w:firstLine="1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Витрати, пов’язані із наймом</w:t>
            </w:r>
            <w:bookmarkStart w:id="2" w:name="w1_15"/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додат</w:t>
            </w:r>
            <w:bookmarkEnd w:id="2"/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кового персоналу, гривень</w:t>
            </w:r>
          </w:p>
        </w:tc>
        <w:tc>
          <w:tcPr>
            <w:tcW w:w="612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912" w:rsidRPr="00BD3912" w:rsidTr="005A060D">
        <w:trPr>
          <w:jc w:val="center"/>
        </w:trPr>
        <w:tc>
          <w:tcPr>
            <w:tcW w:w="729" w:type="pct"/>
            <w:hideMark/>
          </w:tcPr>
          <w:p w:rsidR="00BD3912" w:rsidRPr="00BD3912" w:rsidRDefault="00BD3912" w:rsidP="00BD391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7" w:type="pct"/>
            <w:hideMark/>
          </w:tcPr>
          <w:p w:rsidR="00BD3912" w:rsidRPr="00BD3912" w:rsidRDefault="00BD3912" w:rsidP="0062590B">
            <w:pPr>
              <w:spacing w:line="240" w:lineRule="auto"/>
              <w:ind w:right="187" w:firstLine="1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Інше, гривень.</w:t>
            </w:r>
          </w:p>
          <w:p w:rsidR="00BD3912" w:rsidRPr="00BD3912" w:rsidRDefault="00BD3912" w:rsidP="0062590B">
            <w:pPr>
              <w:spacing w:line="240" w:lineRule="auto"/>
              <w:ind w:right="187" w:firstLine="1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Витрати на:</w:t>
            </w:r>
          </w:p>
          <w:p w:rsidR="00BD3912" w:rsidRPr="00BD3912" w:rsidRDefault="00BD3912" w:rsidP="0062590B">
            <w:pPr>
              <w:spacing w:line="240" w:lineRule="auto"/>
              <w:ind w:right="187"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</w:rPr>
              <w:t>ознайомлення з вимогами регулювання, часові витрати на ознайомлення з вимогами регулювання</w:t>
            </w:r>
          </w:p>
          <w:p w:rsidR="00BD3912" w:rsidRPr="00BD3912" w:rsidRDefault="002B0918" w:rsidP="0062590B">
            <w:pPr>
              <w:spacing w:line="240" w:lineRule="auto"/>
              <w:ind w:right="187" w:firstLine="1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 1 год (1*48=48 гривень</w:t>
            </w:r>
            <w:r w:rsidR="00BD3912" w:rsidRPr="00BD3912">
              <w:rPr>
                <w:rFonts w:ascii="Times New Roman" w:hAnsi="Times New Roman"/>
                <w:sz w:val="24"/>
                <w:szCs w:val="24"/>
              </w:rPr>
              <w:t>)</w:t>
            </w:r>
            <w:r w:rsidR="00BD3912"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BD3912" w:rsidRPr="00BD3912" w:rsidRDefault="00DB4415" w:rsidP="002B0918">
            <w:pPr>
              <w:spacing w:line="240" w:lineRule="auto"/>
              <w:ind w:right="187" w:firstLine="1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415">
              <w:rPr>
                <w:rFonts w:ascii="Times New Roman" w:hAnsi="Times New Roman"/>
                <w:sz w:val="24"/>
                <w:szCs w:val="24"/>
                <w:lang w:eastAsia="ru-RU"/>
              </w:rPr>
              <w:t>Складання базового звіту та оцінки стану забруднення земель та підземних вод , оцінка стану забруднення земель та підземних вод з розрахунку по 9-1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B44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робочих днів для збору </w:t>
            </w:r>
            <w:r w:rsidR="002B0918" w:rsidRPr="00DB4415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інформації</w:t>
            </w:r>
            <w:r w:rsidRPr="00DB4415">
              <w:rPr>
                <w:rFonts w:ascii="Times New Roman" w:hAnsi="Times New Roman"/>
                <w:sz w:val="24"/>
                <w:szCs w:val="24"/>
                <w:lang w:eastAsia="ru-RU"/>
              </w:rPr>
              <w:t>, та складання і підготовки таких документів, що в цілому відповідає одному місяцю роботи одного фахівця.</w:t>
            </w:r>
          </w:p>
        </w:tc>
        <w:tc>
          <w:tcPr>
            <w:tcW w:w="612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3912" w:rsidRPr="00BD3912" w:rsidRDefault="00BD3912" w:rsidP="00BE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14219,26*</w:t>
            </w:r>
          </w:p>
          <w:p w:rsidR="00BD3912" w:rsidRPr="00BD3912" w:rsidRDefault="00BD3912" w:rsidP="00BD391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48***</w:t>
            </w:r>
          </w:p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3912" w:rsidRPr="00BD3912" w:rsidRDefault="00BD3912" w:rsidP="00BE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71096,3</w:t>
            </w:r>
          </w:p>
          <w:p w:rsidR="00BD3912" w:rsidRPr="00BD3912" w:rsidRDefault="00BD3912" w:rsidP="00BD391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3912" w:rsidRPr="00BD3912" w:rsidTr="005A060D">
        <w:trPr>
          <w:jc w:val="center"/>
        </w:trPr>
        <w:tc>
          <w:tcPr>
            <w:tcW w:w="729" w:type="pct"/>
            <w:hideMark/>
          </w:tcPr>
          <w:p w:rsidR="00BD3912" w:rsidRPr="00BD3912" w:rsidRDefault="00BD3912" w:rsidP="00BD391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7" w:type="pct"/>
            <w:hideMark/>
          </w:tcPr>
          <w:p w:rsidR="00BD3912" w:rsidRPr="00BD3912" w:rsidRDefault="00BD3912" w:rsidP="0062590B">
            <w:pPr>
              <w:spacing w:line="240" w:lineRule="auto"/>
              <w:ind w:right="187" w:firstLine="1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РАЗОМ (сума рядків: 1 + 2 + 3 + 4 + 5 + 6 + 7 + 8), гривень</w:t>
            </w:r>
          </w:p>
        </w:tc>
        <w:tc>
          <w:tcPr>
            <w:tcW w:w="612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14267,26</w:t>
            </w:r>
          </w:p>
        </w:tc>
        <w:tc>
          <w:tcPr>
            <w:tcW w:w="612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71144,3</w:t>
            </w:r>
          </w:p>
        </w:tc>
      </w:tr>
      <w:tr w:rsidR="00BD3912" w:rsidRPr="00BD3912" w:rsidTr="005A060D">
        <w:trPr>
          <w:jc w:val="center"/>
        </w:trPr>
        <w:tc>
          <w:tcPr>
            <w:tcW w:w="729" w:type="pct"/>
            <w:hideMark/>
          </w:tcPr>
          <w:p w:rsidR="00BD3912" w:rsidRPr="00BD3912" w:rsidRDefault="00BD3912" w:rsidP="00BD391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047" w:type="pct"/>
            <w:hideMark/>
          </w:tcPr>
          <w:p w:rsidR="00BD3912" w:rsidRPr="00BD3912" w:rsidRDefault="00BD3912" w:rsidP="0062590B">
            <w:pPr>
              <w:spacing w:line="240" w:lineRule="auto"/>
              <w:ind w:right="187" w:firstLine="1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одиниць**</w:t>
            </w:r>
          </w:p>
        </w:tc>
        <w:tc>
          <w:tcPr>
            <w:tcW w:w="612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D3912" w:rsidRPr="00BD3912" w:rsidTr="005A060D">
        <w:trPr>
          <w:jc w:val="center"/>
        </w:trPr>
        <w:tc>
          <w:tcPr>
            <w:tcW w:w="729" w:type="pct"/>
            <w:hideMark/>
          </w:tcPr>
          <w:p w:rsidR="00BD3912" w:rsidRPr="00BD3912" w:rsidRDefault="00BD3912" w:rsidP="00BD391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7" w:type="pct"/>
            <w:hideMark/>
          </w:tcPr>
          <w:p w:rsidR="00BD3912" w:rsidRPr="00BD3912" w:rsidRDefault="00BD3912" w:rsidP="0062590B">
            <w:pPr>
              <w:spacing w:line="240" w:lineRule="auto"/>
              <w:ind w:right="187" w:firstLine="1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612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14267,26</w:t>
            </w:r>
          </w:p>
        </w:tc>
        <w:tc>
          <w:tcPr>
            <w:tcW w:w="612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71144,3</w:t>
            </w:r>
          </w:p>
        </w:tc>
      </w:tr>
    </w:tbl>
    <w:p w:rsidR="00BD3912" w:rsidRPr="002B0918" w:rsidRDefault="00BD3912" w:rsidP="00E56C3A">
      <w:pPr>
        <w:pStyle w:val="af2"/>
        <w:ind w:firstLine="567"/>
        <w:jc w:val="both"/>
      </w:pPr>
      <w:bookmarkStart w:id="3" w:name="n179"/>
      <w:bookmarkEnd w:id="3"/>
      <w:r w:rsidRPr="00BD3912">
        <w:t xml:space="preserve">* </w:t>
      </w:r>
      <w:proofErr w:type="spellStart"/>
      <w:r w:rsidRPr="00BD3912">
        <w:t>Середньомісячна</w:t>
      </w:r>
      <w:proofErr w:type="spellEnd"/>
      <w:r w:rsidRPr="00BD3912">
        <w:t xml:space="preserve"> </w:t>
      </w:r>
      <w:proofErr w:type="spellStart"/>
      <w:r w:rsidRPr="00BD3912">
        <w:t>заробітна</w:t>
      </w:r>
      <w:proofErr w:type="spellEnd"/>
      <w:r w:rsidRPr="00BD3912">
        <w:t xml:space="preserve"> плата за видами </w:t>
      </w:r>
      <w:proofErr w:type="spellStart"/>
      <w:r w:rsidRPr="00BD3912">
        <w:t>економічної</w:t>
      </w:r>
      <w:proofErr w:type="spellEnd"/>
      <w:r w:rsidRPr="00BD3912">
        <w:t xml:space="preserve"> </w:t>
      </w:r>
      <w:proofErr w:type="spellStart"/>
      <w:r w:rsidRPr="00BD3912">
        <w:t>діяльності</w:t>
      </w:r>
      <w:proofErr w:type="spellEnd"/>
      <w:r w:rsidRPr="00BD3912">
        <w:t xml:space="preserve"> (</w:t>
      </w:r>
      <w:proofErr w:type="spellStart"/>
      <w:r w:rsidRPr="00BD3912">
        <w:t>освіта</w:t>
      </w:r>
      <w:proofErr w:type="spellEnd"/>
      <w:r w:rsidRPr="00BD3912">
        <w:t xml:space="preserve">) за квартал у 2024 </w:t>
      </w:r>
      <w:proofErr w:type="spellStart"/>
      <w:r w:rsidRPr="00BD3912">
        <w:t>році</w:t>
      </w:r>
      <w:proofErr w:type="spellEnd"/>
      <w:r w:rsidRPr="00BD3912">
        <w:t xml:space="preserve"> за </w:t>
      </w:r>
      <w:proofErr w:type="spellStart"/>
      <w:r w:rsidRPr="00BD3912">
        <w:t>даними</w:t>
      </w:r>
      <w:proofErr w:type="spellEnd"/>
      <w:proofErr w:type="gramStart"/>
      <w:r w:rsidRPr="00BD3912">
        <w:t xml:space="preserve"> </w:t>
      </w:r>
      <w:proofErr w:type="spellStart"/>
      <w:r w:rsidRPr="00BD3912">
        <w:t>Д</w:t>
      </w:r>
      <w:proofErr w:type="gramEnd"/>
      <w:r w:rsidRPr="00BD3912">
        <w:t>ержавної</w:t>
      </w:r>
      <w:proofErr w:type="spellEnd"/>
      <w:r w:rsidRPr="00BD3912">
        <w:t xml:space="preserve"> </w:t>
      </w:r>
      <w:proofErr w:type="spellStart"/>
      <w:r w:rsidRPr="00BD3912">
        <w:t>статистичної</w:t>
      </w:r>
      <w:proofErr w:type="spellEnd"/>
      <w:r w:rsidRPr="00BD3912">
        <w:t xml:space="preserve"> </w:t>
      </w:r>
      <w:proofErr w:type="spellStart"/>
      <w:r w:rsidRPr="00BD3912">
        <w:t>служби</w:t>
      </w:r>
      <w:proofErr w:type="spellEnd"/>
      <w:r w:rsidRPr="00BD3912">
        <w:t xml:space="preserve">, </w:t>
      </w:r>
      <w:proofErr w:type="spellStart"/>
      <w:r w:rsidRPr="00BD3912">
        <w:t>розміщена</w:t>
      </w:r>
      <w:proofErr w:type="spellEnd"/>
      <w:r w:rsidRPr="00BD3912">
        <w:t xml:space="preserve"> за </w:t>
      </w:r>
      <w:proofErr w:type="spellStart"/>
      <w:r w:rsidRPr="00BD3912">
        <w:t>посиланням</w:t>
      </w:r>
      <w:proofErr w:type="spellEnd"/>
      <w:r w:rsidRPr="00BD3912">
        <w:t xml:space="preserve"> </w:t>
      </w:r>
      <w:hyperlink r:id="rId9" w:history="1">
        <w:r w:rsidRPr="002B0918">
          <w:rPr>
            <w:rStyle w:val="ae"/>
            <w:color w:val="auto"/>
          </w:rPr>
          <w:t>https://www.ukrstat.gov.ua/operativ/menu/menu_u/zp.htm</w:t>
        </w:r>
      </w:hyperlink>
    </w:p>
    <w:p w:rsidR="00BD3912" w:rsidRPr="00BD3912" w:rsidRDefault="00BD3912" w:rsidP="00E56C3A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BD3912">
        <w:rPr>
          <w:rFonts w:ascii="Times New Roman" w:hAnsi="Times New Roman"/>
          <w:sz w:val="20"/>
          <w:lang w:eastAsia="ru-RU"/>
        </w:rPr>
        <w:t xml:space="preserve">** </w:t>
      </w:r>
      <w:r w:rsidRPr="00BD3912">
        <w:rPr>
          <w:rFonts w:ascii="Times New Roman" w:hAnsi="Times New Roman"/>
          <w:sz w:val="20"/>
        </w:rPr>
        <w:t>Розрахунок проведено на одного суб’єкта господарювання середнього підприємництва, оскільки неможливо виявити точну кількість суб’єктів господарювання, на яких поширюється дія регулювання.</w:t>
      </w:r>
    </w:p>
    <w:p w:rsidR="00BD3912" w:rsidRPr="00BD3912" w:rsidRDefault="00BD3912" w:rsidP="00BD3912">
      <w:pPr>
        <w:spacing w:line="240" w:lineRule="auto"/>
        <w:ind w:firstLine="567"/>
        <w:jc w:val="both"/>
        <w:rPr>
          <w:rFonts w:ascii="Times New Roman" w:hAnsi="Times New Roman"/>
          <w:sz w:val="20"/>
          <w:lang w:eastAsia="ru-RU"/>
        </w:rPr>
      </w:pPr>
      <w:r w:rsidRPr="00BD3912">
        <w:rPr>
          <w:rFonts w:ascii="Times New Roman" w:hAnsi="Times New Roman"/>
          <w:sz w:val="20"/>
        </w:rPr>
        <w:t>*** Р</w:t>
      </w:r>
      <w:r w:rsidRPr="00BD3912">
        <w:rPr>
          <w:rFonts w:ascii="Times New Roman" w:hAnsi="Times New Roman"/>
          <w:sz w:val="20"/>
          <w:lang w:eastAsia="ru-RU"/>
        </w:rPr>
        <w:t>азова витрата на ознайомлення з вимогами акта у перший рік.</w:t>
      </w:r>
    </w:p>
    <w:p w:rsidR="00BD3912" w:rsidRPr="00BD3912" w:rsidRDefault="00BD3912" w:rsidP="00E56C3A">
      <w:pPr>
        <w:spacing w:after="0" w:line="24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</w:p>
    <w:p w:rsidR="00BD3912" w:rsidRPr="00DB4415" w:rsidRDefault="00BD3912" w:rsidP="00CD7E0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415">
        <w:rPr>
          <w:rFonts w:ascii="Times New Roman" w:hAnsi="Times New Roman"/>
          <w:sz w:val="28"/>
          <w:szCs w:val="28"/>
          <w:lang w:eastAsia="ru-RU"/>
        </w:rPr>
        <w:t>Розрахунок відповідних витрат на одного суб’єкта господарювання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1"/>
        <w:gridCol w:w="1692"/>
        <w:gridCol w:w="1692"/>
        <w:gridCol w:w="1594"/>
      </w:tblGrid>
      <w:tr w:rsidR="00BD3912" w:rsidRPr="00BD3912" w:rsidTr="005A060D"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Вид витрат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У перший рік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Періодичні </w:t>
            </w:r>
            <w:r w:rsidR="002B091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(за рік)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Витрати за п’ять років</w:t>
            </w:r>
          </w:p>
        </w:tc>
      </w:tr>
      <w:tr w:rsidR="00BD3912" w:rsidRPr="00BD3912" w:rsidTr="005A060D"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12" w:rsidRPr="00BD3912" w:rsidRDefault="00BD3912" w:rsidP="00EA330A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D3912" w:rsidRPr="00BD3912" w:rsidRDefault="00BD3912" w:rsidP="00BD3912">
      <w:pPr>
        <w:spacing w:line="24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4"/>
        <w:gridCol w:w="3352"/>
        <w:gridCol w:w="1773"/>
      </w:tblGrid>
      <w:tr w:rsidR="00BD3912" w:rsidRPr="00BD3912" w:rsidTr="005A060D">
        <w:tc>
          <w:tcPr>
            <w:tcW w:w="2347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Вид витрат</w:t>
            </w:r>
          </w:p>
        </w:tc>
        <w:tc>
          <w:tcPr>
            <w:tcW w:w="1735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918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Витрати за п’ять років</w:t>
            </w:r>
          </w:p>
        </w:tc>
      </w:tr>
      <w:tr w:rsidR="00BD3912" w:rsidRPr="00BD3912" w:rsidTr="005A060D">
        <w:tc>
          <w:tcPr>
            <w:tcW w:w="2347" w:type="pct"/>
            <w:hideMark/>
          </w:tcPr>
          <w:p w:rsidR="00BD3912" w:rsidRPr="00BD3912" w:rsidRDefault="00BD3912" w:rsidP="00E273F7">
            <w:pPr>
              <w:spacing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1735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D3912" w:rsidRPr="00BD3912" w:rsidRDefault="00BD3912" w:rsidP="00BD3912">
      <w:pPr>
        <w:spacing w:line="24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0"/>
        <w:gridCol w:w="1773"/>
        <w:gridCol w:w="1773"/>
        <w:gridCol w:w="1675"/>
        <w:gridCol w:w="1478"/>
      </w:tblGrid>
      <w:tr w:rsidR="00BD3912" w:rsidRPr="00BD3912" w:rsidTr="005A060D">
        <w:tc>
          <w:tcPr>
            <w:tcW w:w="1532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" w:name="n180"/>
            <w:bookmarkStart w:id="5" w:name="n181"/>
            <w:bookmarkStart w:id="6" w:name="n182"/>
            <w:bookmarkEnd w:id="4"/>
            <w:bookmarkEnd w:id="5"/>
            <w:bookmarkEnd w:id="6"/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Вид витрат</w:t>
            </w:r>
          </w:p>
        </w:tc>
        <w:tc>
          <w:tcPr>
            <w:tcW w:w="918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918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Витрати на оплату штрафних санкцій за рік</w:t>
            </w:r>
          </w:p>
        </w:tc>
        <w:tc>
          <w:tcPr>
            <w:tcW w:w="867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Разом за рік</w:t>
            </w:r>
          </w:p>
        </w:tc>
        <w:tc>
          <w:tcPr>
            <w:tcW w:w="765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Витрати за п’ять років</w:t>
            </w:r>
          </w:p>
        </w:tc>
      </w:tr>
      <w:tr w:rsidR="00BD3912" w:rsidRPr="00BD3912" w:rsidTr="005A060D">
        <w:tc>
          <w:tcPr>
            <w:tcW w:w="1532" w:type="pct"/>
            <w:hideMark/>
          </w:tcPr>
          <w:p w:rsidR="00BD3912" w:rsidRPr="00BD3912" w:rsidRDefault="00BD3912" w:rsidP="00E273F7">
            <w:pPr>
              <w:spacing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918" w:type="pct"/>
            <w:hideMark/>
          </w:tcPr>
          <w:p w:rsidR="00BD3912" w:rsidRPr="00BD3912" w:rsidRDefault="00BD3912" w:rsidP="00BD391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pct"/>
            <w:hideMark/>
          </w:tcPr>
          <w:p w:rsidR="00BD3912" w:rsidRPr="00BD3912" w:rsidRDefault="00BD3912" w:rsidP="00BD391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7" w:type="pct"/>
            <w:hideMark/>
          </w:tcPr>
          <w:p w:rsidR="00BD3912" w:rsidRPr="00BD3912" w:rsidRDefault="00BD3912" w:rsidP="00BD391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pct"/>
            <w:hideMark/>
          </w:tcPr>
          <w:p w:rsidR="00BD3912" w:rsidRPr="00BD3912" w:rsidRDefault="00BD3912" w:rsidP="00BD391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D3912" w:rsidRPr="00BD3912" w:rsidRDefault="00BD3912" w:rsidP="00BD3912">
      <w:pPr>
        <w:spacing w:line="240" w:lineRule="auto"/>
        <w:jc w:val="both"/>
        <w:rPr>
          <w:rFonts w:ascii="Times New Roman" w:hAnsi="Times New Roman"/>
          <w:sz w:val="20"/>
          <w:lang w:eastAsia="ru-RU"/>
        </w:rPr>
      </w:pPr>
      <w:bookmarkStart w:id="7" w:name="n183"/>
      <w:bookmarkEnd w:id="7"/>
      <w:r w:rsidRPr="00BD3912">
        <w:rPr>
          <w:rFonts w:ascii="Times New Roman" w:hAnsi="Times New Roman"/>
          <w:sz w:val="20"/>
          <w:lang w:eastAsia="ru-RU"/>
        </w:rPr>
        <w:t>* Вартість витрат, пов’язаних із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 кваліфікації).</w:t>
      </w:r>
    </w:p>
    <w:p w:rsidR="00BD3912" w:rsidRPr="00BD3912" w:rsidRDefault="00BD3912" w:rsidP="00BD3912">
      <w:pPr>
        <w:spacing w:line="240" w:lineRule="auto"/>
        <w:jc w:val="both"/>
        <w:rPr>
          <w:rFonts w:ascii="Times New Roman" w:hAnsi="Times New Roman"/>
          <w:sz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7"/>
        <w:gridCol w:w="2365"/>
        <w:gridCol w:w="1675"/>
        <w:gridCol w:w="1281"/>
        <w:gridCol w:w="1281"/>
      </w:tblGrid>
      <w:tr w:rsidR="00BD3912" w:rsidRPr="00BD3912" w:rsidTr="005A060D">
        <w:tc>
          <w:tcPr>
            <w:tcW w:w="1583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" w:name="n184"/>
            <w:bookmarkEnd w:id="8"/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Вид витрат</w:t>
            </w:r>
          </w:p>
        </w:tc>
        <w:tc>
          <w:tcPr>
            <w:tcW w:w="1224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Витрати* на адміністрування заходів державного нагляду (контролю) (за рік)</w:t>
            </w:r>
          </w:p>
        </w:tc>
        <w:tc>
          <w:tcPr>
            <w:tcW w:w="867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Витрати на оплату штрафних санкцій та усунення виявлених порушень </w:t>
            </w:r>
            <w:r w:rsidR="002B091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(за рік)</w:t>
            </w:r>
          </w:p>
        </w:tc>
        <w:tc>
          <w:tcPr>
            <w:tcW w:w="663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Разом за рік</w:t>
            </w:r>
          </w:p>
        </w:tc>
        <w:tc>
          <w:tcPr>
            <w:tcW w:w="663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Витрати за п’ять років</w:t>
            </w:r>
          </w:p>
        </w:tc>
      </w:tr>
      <w:tr w:rsidR="00BD3912" w:rsidRPr="00BD3912" w:rsidTr="005A060D">
        <w:tc>
          <w:tcPr>
            <w:tcW w:w="1583" w:type="pct"/>
            <w:hideMark/>
          </w:tcPr>
          <w:p w:rsidR="00BD3912" w:rsidRPr="00BD3912" w:rsidRDefault="00BD3912" w:rsidP="00CD7E00">
            <w:pPr>
              <w:spacing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224" w:type="pct"/>
            <w:hideMark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7" w:type="pct"/>
            <w:hideMark/>
          </w:tcPr>
          <w:p w:rsidR="00BD3912" w:rsidRPr="00BD3912" w:rsidRDefault="00BD3912" w:rsidP="00BD391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3" w:type="pct"/>
            <w:hideMark/>
          </w:tcPr>
          <w:p w:rsidR="00BD3912" w:rsidRPr="00BD3912" w:rsidRDefault="00BD3912" w:rsidP="00BD391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3" w:type="pct"/>
            <w:hideMark/>
          </w:tcPr>
          <w:p w:rsidR="00BD3912" w:rsidRPr="00BD3912" w:rsidRDefault="00BD3912" w:rsidP="00BD391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D3912" w:rsidRPr="00BD3912" w:rsidRDefault="00BD3912" w:rsidP="00BD3912">
      <w:pPr>
        <w:spacing w:line="240" w:lineRule="auto"/>
        <w:jc w:val="both"/>
        <w:rPr>
          <w:rFonts w:ascii="Times New Roman" w:hAnsi="Times New Roman"/>
          <w:sz w:val="20"/>
          <w:lang w:eastAsia="ru-RU"/>
        </w:rPr>
      </w:pPr>
      <w:bookmarkStart w:id="9" w:name="n185"/>
      <w:bookmarkEnd w:id="9"/>
      <w:r w:rsidRPr="00BD3912">
        <w:rPr>
          <w:rFonts w:ascii="Times New Roman" w:hAnsi="Times New Roman"/>
          <w:sz w:val="20"/>
          <w:lang w:eastAsia="ru-RU"/>
        </w:rPr>
        <w:t>* Вартість витрат, пов’язаних з адмініструванням заходів державного нагляду (контролю), визначається шляхом множення фактичних витрат часу персоналу на заробітну плату спеціаліста відповідної кваліфікації.</w:t>
      </w:r>
    </w:p>
    <w:p w:rsidR="00BD3912" w:rsidRDefault="00BD3912" w:rsidP="00CD7E00">
      <w:pPr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4"/>
        <w:gridCol w:w="1817"/>
        <w:gridCol w:w="1955"/>
        <w:gridCol w:w="1537"/>
        <w:gridCol w:w="1362"/>
      </w:tblGrid>
      <w:tr w:rsidR="00BD3912" w:rsidRPr="00BD3912" w:rsidTr="00155A73">
        <w:tc>
          <w:tcPr>
            <w:tcW w:w="1615" w:type="pct"/>
            <w:shd w:val="clear" w:color="auto" w:fill="auto"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Вид витрат</w:t>
            </w:r>
          </w:p>
        </w:tc>
        <w:tc>
          <w:tcPr>
            <w:tcW w:w="922" w:type="pct"/>
            <w:shd w:val="clear" w:color="auto" w:fill="auto"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992" w:type="pct"/>
            <w:shd w:val="clear" w:color="auto" w:fill="auto"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780" w:type="pct"/>
            <w:shd w:val="clear" w:color="auto" w:fill="auto"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Разом за рік (стартовий)</w:t>
            </w:r>
          </w:p>
        </w:tc>
        <w:tc>
          <w:tcPr>
            <w:tcW w:w="691" w:type="pct"/>
            <w:shd w:val="clear" w:color="auto" w:fill="auto"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Витрати за п’ять років</w:t>
            </w:r>
          </w:p>
        </w:tc>
      </w:tr>
      <w:tr w:rsidR="00BD3912" w:rsidRPr="00BD3912" w:rsidTr="00155A73">
        <w:tc>
          <w:tcPr>
            <w:tcW w:w="1615" w:type="pct"/>
            <w:shd w:val="clear" w:color="auto" w:fill="auto"/>
          </w:tcPr>
          <w:p w:rsidR="00BD3912" w:rsidRPr="00BD3912" w:rsidRDefault="00BD3912" w:rsidP="00BD39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922" w:type="pct"/>
            <w:shd w:val="clear" w:color="auto" w:fill="auto"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pct"/>
            <w:shd w:val="clear" w:color="auto" w:fill="auto"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pct"/>
            <w:shd w:val="clear" w:color="auto" w:fill="auto"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1" w:type="pct"/>
            <w:shd w:val="clear" w:color="auto" w:fill="auto"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D3912" w:rsidRDefault="00BD3912" w:rsidP="00BD3912">
      <w:pPr>
        <w:spacing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2466"/>
        <w:gridCol w:w="2464"/>
        <w:gridCol w:w="2455"/>
      </w:tblGrid>
      <w:tr w:rsidR="00BD3912" w:rsidRPr="00BD3912" w:rsidTr="00DE5A28">
        <w:tc>
          <w:tcPr>
            <w:tcW w:w="2470" w:type="dxa"/>
            <w:shd w:val="clear" w:color="auto" w:fill="auto"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Вид витрат</w:t>
            </w:r>
          </w:p>
        </w:tc>
        <w:tc>
          <w:tcPr>
            <w:tcW w:w="2466" w:type="dxa"/>
            <w:shd w:val="clear" w:color="auto" w:fill="auto"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За рік (стартовий)</w:t>
            </w:r>
          </w:p>
        </w:tc>
        <w:tc>
          <w:tcPr>
            <w:tcW w:w="2464" w:type="dxa"/>
            <w:shd w:val="clear" w:color="auto" w:fill="auto"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Періодичні</w:t>
            </w: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(за наступний рік)</w:t>
            </w:r>
          </w:p>
        </w:tc>
        <w:tc>
          <w:tcPr>
            <w:tcW w:w="2455" w:type="dxa"/>
            <w:shd w:val="clear" w:color="auto" w:fill="auto"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Витрати за п’ять років</w:t>
            </w:r>
          </w:p>
        </w:tc>
      </w:tr>
      <w:tr w:rsidR="00BD3912" w:rsidRPr="00BD3912" w:rsidTr="00DE5A28">
        <w:tc>
          <w:tcPr>
            <w:tcW w:w="2470" w:type="dxa"/>
            <w:shd w:val="clear" w:color="auto" w:fill="auto"/>
          </w:tcPr>
          <w:p w:rsidR="00BD3912" w:rsidRPr="00BD3912" w:rsidRDefault="00BD3912" w:rsidP="00BD39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2466" w:type="dxa"/>
            <w:shd w:val="clear" w:color="auto" w:fill="auto"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4" w:type="dxa"/>
            <w:shd w:val="clear" w:color="auto" w:fill="auto"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5" w:type="dxa"/>
            <w:shd w:val="clear" w:color="auto" w:fill="auto"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D3912" w:rsidRPr="00BD3912" w:rsidRDefault="00BD3912" w:rsidP="00BD3912">
      <w:pPr>
        <w:spacing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4043"/>
        <w:gridCol w:w="1924"/>
      </w:tblGrid>
      <w:tr w:rsidR="00BD3912" w:rsidRPr="00BD3912" w:rsidTr="005A060D">
        <w:tc>
          <w:tcPr>
            <w:tcW w:w="3936" w:type="dxa"/>
            <w:shd w:val="clear" w:color="auto" w:fill="auto"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Вид витрат</w:t>
            </w:r>
          </w:p>
        </w:tc>
        <w:tc>
          <w:tcPr>
            <w:tcW w:w="4110" w:type="dxa"/>
            <w:shd w:val="clear" w:color="auto" w:fill="auto"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Витрати на оплату праці додатково найманого персоналу (за рік)</w:t>
            </w:r>
          </w:p>
        </w:tc>
        <w:tc>
          <w:tcPr>
            <w:tcW w:w="1950" w:type="dxa"/>
            <w:shd w:val="clear" w:color="auto" w:fill="auto"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Витрати за</w:t>
            </w: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п’ять років</w:t>
            </w:r>
          </w:p>
        </w:tc>
      </w:tr>
      <w:tr w:rsidR="00BD3912" w:rsidRPr="00BD3912" w:rsidTr="005A060D">
        <w:tc>
          <w:tcPr>
            <w:tcW w:w="3936" w:type="dxa"/>
            <w:shd w:val="clear" w:color="auto" w:fill="auto"/>
          </w:tcPr>
          <w:p w:rsidR="00BD3912" w:rsidRPr="00BD3912" w:rsidRDefault="00BD3912" w:rsidP="00BD39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Витрати, пов’язані із наймом додаткового персоналу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BD3912" w:rsidRPr="00BD3912" w:rsidRDefault="00BD3912" w:rsidP="00BD39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9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D3912" w:rsidRPr="00BD3912" w:rsidRDefault="00BD3912" w:rsidP="00BD3912">
      <w:pPr>
        <w:spacing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6"/>
        <w:gridCol w:w="4919"/>
      </w:tblGrid>
      <w:tr w:rsidR="00BD3912" w:rsidRPr="00BD3912" w:rsidTr="005A060D">
        <w:tc>
          <w:tcPr>
            <w:tcW w:w="4998" w:type="dxa"/>
            <w:shd w:val="clear" w:color="auto" w:fill="auto"/>
          </w:tcPr>
          <w:p w:rsidR="00BD3912" w:rsidRPr="00BD3912" w:rsidRDefault="00BD3912" w:rsidP="00BD3912">
            <w:pPr>
              <w:pStyle w:val="rvps12"/>
              <w:jc w:val="center"/>
              <w:rPr>
                <w:b/>
              </w:rPr>
            </w:pPr>
            <w:r w:rsidRPr="00BD3912">
              <w:rPr>
                <w:b/>
              </w:rPr>
              <w:t>Сумарні витрати за альтернативами</w:t>
            </w:r>
          </w:p>
        </w:tc>
        <w:tc>
          <w:tcPr>
            <w:tcW w:w="4998" w:type="dxa"/>
            <w:shd w:val="clear" w:color="auto" w:fill="auto"/>
          </w:tcPr>
          <w:p w:rsidR="00BD3912" w:rsidRPr="00BD3912" w:rsidRDefault="00BD3912" w:rsidP="00BD3912">
            <w:pPr>
              <w:pStyle w:val="rvps12"/>
              <w:jc w:val="center"/>
              <w:rPr>
                <w:b/>
              </w:rPr>
            </w:pPr>
            <w:r w:rsidRPr="00BD3912">
              <w:rPr>
                <w:b/>
              </w:rPr>
              <w:t>Сума витрат, гривень</w:t>
            </w:r>
          </w:p>
        </w:tc>
      </w:tr>
      <w:tr w:rsidR="00BD3912" w:rsidRPr="00BD3912" w:rsidTr="005A060D">
        <w:tc>
          <w:tcPr>
            <w:tcW w:w="4998" w:type="dxa"/>
            <w:shd w:val="clear" w:color="auto" w:fill="auto"/>
          </w:tcPr>
          <w:p w:rsidR="00BD3912" w:rsidRPr="001B7103" w:rsidRDefault="00BD3912" w:rsidP="00CD7E00">
            <w:pPr>
              <w:pStyle w:val="23"/>
              <w:spacing w:after="0" w:line="240" w:lineRule="auto"/>
              <w:ind w:left="0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 w:rsidRPr="001B7103">
              <w:rPr>
                <w:rStyle w:val="rvts0"/>
                <w:rFonts w:ascii="Times New Roman" w:hAnsi="Times New Roman"/>
                <w:sz w:val="24"/>
                <w:szCs w:val="24"/>
              </w:rPr>
              <w:t>Альтернатива 1</w:t>
            </w:r>
            <w:r w:rsidR="002B0918">
              <w:rPr>
                <w:rStyle w:val="rvts0"/>
                <w:rFonts w:ascii="Times New Roman" w:hAnsi="Times New Roman"/>
                <w:sz w:val="24"/>
                <w:szCs w:val="24"/>
              </w:rPr>
              <w:t>:</w:t>
            </w:r>
          </w:p>
          <w:p w:rsidR="00BD3912" w:rsidRPr="00CD7E00" w:rsidRDefault="00635C99" w:rsidP="00BD3912">
            <w:pPr>
              <w:pStyle w:val="23"/>
              <w:spacing w:line="240" w:lineRule="auto"/>
              <w:ind w:left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BD3912" w:rsidRPr="00CD7E00">
              <w:rPr>
                <w:rFonts w:ascii="Times New Roman" w:hAnsi="Times New Roman"/>
                <w:sz w:val="24"/>
                <w:szCs w:val="24"/>
                <w:lang w:eastAsia="ru-RU"/>
              </w:rPr>
              <w:t>рийняття проєкту наказу</w:t>
            </w:r>
            <w:r w:rsidR="00BD3912" w:rsidRPr="00CD7E00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98" w:type="dxa"/>
            <w:shd w:val="clear" w:color="auto" w:fill="auto"/>
          </w:tcPr>
          <w:p w:rsidR="00BD3912" w:rsidRPr="00BD3912" w:rsidRDefault="00BD3912" w:rsidP="00BD3912">
            <w:pPr>
              <w:pStyle w:val="23"/>
              <w:spacing w:line="240" w:lineRule="auto"/>
              <w:ind w:left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D391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Витрати за рік </w:t>
            </w:r>
            <w:r w:rsidRPr="008B6474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– 14267,26</w:t>
            </w:r>
            <w:r w:rsidRPr="00BD391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D3912" w:rsidRPr="00BD3912" w:rsidRDefault="00BD3912" w:rsidP="00BD3912">
            <w:pPr>
              <w:pStyle w:val="23"/>
              <w:spacing w:line="240" w:lineRule="auto"/>
              <w:ind w:left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391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Сумарно за п’ять років </w:t>
            </w:r>
            <w:r w:rsidRPr="008B6474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– 71144,3</w:t>
            </w:r>
          </w:p>
        </w:tc>
      </w:tr>
      <w:tr w:rsidR="00BD3912" w:rsidRPr="00BD3912" w:rsidTr="005A060D">
        <w:tc>
          <w:tcPr>
            <w:tcW w:w="4998" w:type="dxa"/>
            <w:shd w:val="clear" w:color="auto" w:fill="auto"/>
          </w:tcPr>
          <w:p w:rsidR="00BD3912" w:rsidRPr="001B7103" w:rsidRDefault="001B7103" w:rsidP="00CD7E00">
            <w:pPr>
              <w:pStyle w:val="23"/>
              <w:spacing w:after="0" w:line="240" w:lineRule="auto"/>
              <w:ind w:left="0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 w:rsidRPr="001B7103">
              <w:rPr>
                <w:rStyle w:val="rvts0"/>
                <w:rFonts w:ascii="Times New Roman" w:hAnsi="Times New Roman"/>
                <w:sz w:val="24"/>
                <w:szCs w:val="24"/>
              </w:rPr>
              <w:t>Альтернатива 2</w:t>
            </w:r>
            <w:r w:rsidR="002B0918">
              <w:rPr>
                <w:rStyle w:val="rvts0"/>
                <w:rFonts w:ascii="Times New Roman" w:hAnsi="Times New Roman"/>
                <w:sz w:val="24"/>
                <w:szCs w:val="24"/>
              </w:rPr>
              <w:t>:</w:t>
            </w:r>
          </w:p>
          <w:p w:rsidR="00BD3912" w:rsidRPr="00CD7E00" w:rsidRDefault="00635C99" w:rsidP="00BD3912">
            <w:pPr>
              <w:pStyle w:val="23"/>
              <w:spacing w:line="240" w:lineRule="auto"/>
              <w:ind w:left="0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з</w:t>
            </w:r>
            <w:r w:rsidR="00BD3912" w:rsidRPr="00CD7E00">
              <w:rPr>
                <w:rStyle w:val="rvts0"/>
                <w:rFonts w:ascii="Times New Roman" w:hAnsi="Times New Roman"/>
                <w:sz w:val="24"/>
                <w:szCs w:val="24"/>
              </w:rPr>
              <w:t>береження ситуації, яка існує на сьогодні</w:t>
            </w:r>
          </w:p>
          <w:p w:rsidR="00BD3912" w:rsidRPr="00BD3912" w:rsidRDefault="00BD3912" w:rsidP="00BD3912">
            <w:pPr>
              <w:pStyle w:val="23"/>
              <w:spacing w:line="240" w:lineRule="auto"/>
              <w:ind w:left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98" w:type="dxa"/>
            <w:shd w:val="clear" w:color="auto" w:fill="auto"/>
          </w:tcPr>
          <w:p w:rsidR="00BD3912" w:rsidRPr="00BD3912" w:rsidRDefault="00BD3912" w:rsidP="00BD3912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39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Відсутні</w:t>
            </w:r>
          </w:p>
          <w:p w:rsidR="00BD3912" w:rsidRPr="00BD3912" w:rsidRDefault="00BD3912" w:rsidP="00BD3912">
            <w:pPr>
              <w:pStyle w:val="23"/>
              <w:spacing w:line="240" w:lineRule="auto"/>
              <w:ind w:left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BD3912" w:rsidRPr="00BD3912" w:rsidRDefault="00BD3912" w:rsidP="00BD3912">
      <w:p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B214C9" w:rsidRPr="00BD3912" w:rsidRDefault="00CD7E00" w:rsidP="00BD3912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_________________________________________</w:t>
      </w:r>
    </w:p>
    <w:p w:rsidR="008E0A10" w:rsidRPr="00BD3912" w:rsidRDefault="008E0A10" w:rsidP="00BD391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8E0A10" w:rsidRPr="00BD3912" w:rsidSect="00155A73">
      <w:headerReference w:type="default" r:id="rId10"/>
      <w:pgSz w:w="11906" w:h="16838"/>
      <w:pgMar w:top="851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60D" w:rsidRDefault="005A060D" w:rsidP="005B6B16">
      <w:pPr>
        <w:spacing w:after="0" w:line="240" w:lineRule="auto"/>
      </w:pPr>
      <w:r>
        <w:separator/>
      </w:r>
    </w:p>
  </w:endnote>
  <w:endnote w:type="continuationSeparator" w:id="0">
    <w:p w:rsidR="005A060D" w:rsidRDefault="005A060D" w:rsidP="005B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60D" w:rsidRDefault="005A060D" w:rsidP="005B6B16">
      <w:pPr>
        <w:spacing w:after="0" w:line="240" w:lineRule="auto"/>
      </w:pPr>
      <w:r>
        <w:separator/>
      </w:r>
    </w:p>
  </w:footnote>
  <w:footnote w:type="continuationSeparator" w:id="0">
    <w:p w:rsidR="005A060D" w:rsidRDefault="005A060D" w:rsidP="005B6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60D" w:rsidRDefault="005A060D" w:rsidP="000B3CBC">
    <w:pPr>
      <w:pStyle w:val="a3"/>
      <w:jc w:val="cen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57D38">
      <w:rPr>
        <w:noProof/>
      </w:rPr>
      <w:t>9</w:t>
    </w:r>
    <w:r>
      <w:rPr>
        <w:noProof/>
      </w:rPr>
      <w:fldChar w:fldCharType="end"/>
    </w:r>
  </w:p>
  <w:p w:rsidR="005A060D" w:rsidRDefault="005A060D" w:rsidP="000B3CB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80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612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828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104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1260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1476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1692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19080"/>
        </w:tabs>
        <w:ind w:left="6480" w:hanging="180"/>
      </w:pPr>
      <w:rPr>
        <w:rFonts w:cs="Times New Roman"/>
        <w:u w:val="none"/>
      </w:rPr>
    </w:lvl>
  </w:abstractNum>
  <w:abstractNum w:abstractNumId="1">
    <w:nsid w:val="00421BA0"/>
    <w:multiLevelType w:val="hybridMultilevel"/>
    <w:tmpl w:val="E8C8E77E"/>
    <w:lvl w:ilvl="0" w:tplc="9656EB28">
      <w:start w:val="4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1E2686D"/>
    <w:multiLevelType w:val="hybridMultilevel"/>
    <w:tmpl w:val="28F48882"/>
    <w:lvl w:ilvl="0" w:tplc="8D543EB0">
      <w:start w:val="1"/>
      <w:numFmt w:val="decimal"/>
      <w:lvlText w:val="%1."/>
      <w:lvlJc w:val="left"/>
      <w:pPr>
        <w:ind w:left="1211" w:hanging="360"/>
      </w:pPr>
      <w:rPr>
        <w:strike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2410F"/>
    <w:multiLevelType w:val="multilevel"/>
    <w:tmpl w:val="31F8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CA1715"/>
    <w:multiLevelType w:val="hybridMultilevel"/>
    <w:tmpl w:val="1188FBFC"/>
    <w:lvl w:ilvl="0" w:tplc="0422000F">
      <w:start w:val="1"/>
      <w:numFmt w:val="decimal"/>
      <w:lvlText w:val="%1."/>
      <w:lvlJc w:val="left"/>
      <w:pPr>
        <w:ind w:left="4330" w:hanging="360"/>
      </w:pPr>
      <w:rPr>
        <w:rFonts w:cs="Times New Roman"/>
      </w:rPr>
    </w:lvl>
    <w:lvl w:ilvl="1" w:tplc="3C32AA9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2375DA"/>
    <w:multiLevelType w:val="hybridMultilevel"/>
    <w:tmpl w:val="56A8FBF2"/>
    <w:lvl w:ilvl="0" w:tplc="C0DEBD3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DAC64B1"/>
    <w:multiLevelType w:val="hybridMultilevel"/>
    <w:tmpl w:val="D63A172A"/>
    <w:lvl w:ilvl="0" w:tplc="969EC4A8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7951755"/>
    <w:multiLevelType w:val="hybridMultilevel"/>
    <w:tmpl w:val="1008705C"/>
    <w:lvl w:ilvl="0" w:tplc="947CF8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0C7593F"/>
    <w:multiLevelType w:val="multilevel"/>
    <w:tmpl w:val="0CAE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001EEB"/>
    <w:multiLevelType w:val="hybridMultilevel"/>
    <w:tmpl w:val="B8A29F0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83251F2"/>
    <w:multiLevelType w:val="hybridMultilevel"/>
    <w:tmpl w:val="CE4CBFFC"/>
    <w:lvl w:ilvl="0" w:tplc="014E75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C2504"/>
    <w:multiLevelType w:val="hybridMultilevel"/>
    <w:tmpl w:val="8466D842"/>
    <w:lvl w:ilvl="0" w:tplc="0890C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A61EC"/>
    <w:multiLevelType w:val="hybridMultilevel"/>
    <w:tmpl w:val="B9488FD2"/>
    <w:lvl w:ilvl="0" w:tplc="8D0436F0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5FA63D01"/>
    <w:multiLevelType w:val="multilevel"/>
    <w:tmpl w:val="AB54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B623A2"/>
    <w:multiLevelType w:val="hybridMultilevel"/>
    <w:tmpl w:val="6936D4FA"/>
    <w:lvl w:ilvl="0" w:tplc="F69AF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8073F"/>
    <w:multiLevelType w:val="hybridMultilevel"/>
    <w:tmpl w:val="443AD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3E45DB"/>
    <w:multiLevelType w:val="hybridMultilevel"/>
    <w:tmpl w:val="0ED0827E"/>
    <w:lvl w:ilvl="0" w:tplc="731683DC">
      <w:start w:val="8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6FC71B3"/>
    <w:multiLevelType w:val="multilevel"/>
    <w:tmpl w:val="AB54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14"/>
  </w:num>
  <w:num w:numId="8">
    <w:abstractNumId w:val="9"/>
  </w:num>
  <w:num w:numId="9">
    <w:abstractNumId w:val="7"/>
  </w:num>
  <w:num w:numId="10">
    <w:abstractNumId w:val="11"/>
  </w:num>
  <w:num w:numId="11">
    <w:abstractNumId w:val="2"/>
  </w:num>
  <w:num w:numId="12">
    <w:abstractNumId w:val="16"/>
  </w:num>
  <w:num w:numId="13">
    <w:abstractNumId w:val="6"/>
  </w:num>
  <w:num w:numId="14">
    <w:abstractNumId w:val="15"/>
  </w:num>
  <w:num w:numId="15">
    <w:abstractNumId w:val="10"/>
  </w:num>
  <w:num w:numId="16">
    <w:abstractNumId w:val="3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5A"/>
    <w:rsid w:val="00000B45"/>
    <w:rsid w:val="000012B3"/>
    <w:rsid w:val="00005594"/>
    <w:rsid w:val="00007101"/>
    <w:rsid w:val="00010D1D"/>
    <w:rsid w:val="000132EB"/>
    <w:rsid w:val="00013E0C"/>
    <w:rsid w:val="00014D50"/>
    <w:rsid w:val="000155C1"/>
    <w:rsid w:val="00016325"/>
    <w:rsid w:val="00016CB0"/>
    <w:rsid w:val="000206CC"/>
    <w:rsid w:val="00022FA4"/>
    <w:rsid w:val="000261E1"/>
    <w:rsid w:val="0002719D"/>
    <w:rsid w:val="00030F43"/>
    <w:rsid w:val="00030FA3"/>
    <w:rsid w:val="000319CE"/>
    <w:rsid w:val="00033AC7"/>
    <w:rsid w:val="000364C6"/>
    <w:rsid w:val="00037818"/>
    <w:rsid w:val="00041F6D"/>
    <w:rsid w:val="00043B1A"/>
    <w:rsid w:val="00045B4B"/>
    <w:rsid w:val="00050C2C"/>
    <w:rsid w:val="00052E2F"/>
    <w:rsid w:val="00055452"/>
    <w:rsid w:val="000557B0"/>
    <w:rsid w:val="000578B1"/>
    <w:rsid w:val="00061484"/>
    <w:rsid w:val="00064961"/>
    <w:rsid w:val="00064CC3"/>
    <w:rsid w:val="0006555F"/>
    <w:rsid w:val="00066A2A"/>
    <w:rsid w:val="00067A9A"/>
    <w:rsid w:val="00071042"/>
    <w:rsid w:val="00077952"/>
    <w:rsid w:val="00077D59"/>
    <w:rsid w:val="000809DC"/>
    <w:rsid w:val="0008172E"/>
    <w:rsid w:val="000821F5"/>
    <w:rsid w:val="00082AFD"/>
    <w:rsid w:val="0008435C"/>
    <w:rsid w:val="000848EC"/>
    <w:rsid w:val="00090762"/>
    <w:rsid w:val="00090B70"/>
    <w:rsid w:val="00090EFF"/>
    <w:rsid w:val="00094544"/>
    <w:rsid w:val="0009458C"/>
    <w:rsid w:val="0009774B"/>
    <w:rsid w:val="00097DAA"/>
    <w:rsid w:val="000A4899"/>
    <w:rsid w:val="000A69A9"/>
    <w:rsid w:val="000A7661"/>
    <w:rsid w:val="000B3CBC"/>
    <w:rsid w:val="000B455B"/>
    <w:rsid w:val="000B6533"/>
    <w:rsid w:val="000B663D"/>
    <w:rsid w:val="000B6B39"/>
    <w:rsid w:val="000C1360"/>
    <w:rsid w:val="000C1539"/>
    <w:rsid w:val="000C297B"/>
    <w:rsid w:val="000C5147"/>
    <w:rsid w:val="000C6DAB"/>
    <w:rsid w:val="000D0366"/>
    <w:rsid w:val="000D07F6"/>
    <w:rsid w:val="000D1645"/>
    <w:rsid w:val="000D2FD7"/>
    <w:rsid w:val="000D6DA9"/>
    <w:rsid w:val="000E1691"/>
    <w:rsid w:val="000E27AE"/>
    <w:rsid w:val="000E2B19"/>
    <w:rsid w:val="000E2F16"/>
    <w:rsid w:val="000E63D7"/>
    <w:rsid w:val="000E6F01"/>
    <w:rsid w:val="000E7675"/>
    <w:rsid w:val="000E7C94"/>
    <w:rsid w:val="000F0B8D"/>
    <w:rsid w:val="000F1420"/>
    <w:rsid w:val="000F1F07"/>
    <w:rsid w:val="000F2B67"/>
    <w:rsid w:val="000F4261"/>
    <w:rsid w:val="000F5D20"/>
    <w:rsid w:val="000F76CF"/>
    <w:rsid w:val="001009DF"/>
    <w:rsid w:val="00101DB3"/>
    <w:rsid w:val="00104208"/>
    <w:rsid w:val="00104397"/>
    <w:rsid w:val="00110614"/>
    <w:rsid w:val="0011116F"/>
    <w:rsid w:val="00111444"/>
    <w:rsid w:val="0011323F"/>
    <w:rsid w:val="00113484"/>
    <w:rsid w:val="00114C5D"/>
    <w:rsid w:val="00116418"/>
    <w:rsid w:val="00116551"/>
    <w:rsid w:val="0012105F"/>
    <w:rsid w:val="001236A4"/>
    <w:rsid w:val="001236DA"/>
    <w:rsid w:val="00124BF9"/>
    <w:rsid w:val="001267D1"/>
    <w:rsid w:val="00127477"/>
    <w:rsid w:val="00130C4F"/>
    <w:rsid w:val="00132085"/>
    <w:rsid w:val="00132313"/>
    <w:rsid w:val="001325B6"/>
    <w:rsid w:val="00133AD1"/>
    <w:rsid w:val="001355C5"/>
    <w:rsid w:val="0014015F"/>
    <w:rsid w:val="00141026"/>
    <w:rsid w:val="00143090"/>
    <w:rsid w:val="001430DB"/>
    <w:rsid w:val="001448F4"/>
    <w:rsid w:val="00144DF7"/>
    <w:rsid w:val="00147F15"/>
    <w:rsid w:val="00147F3E"/>
    <w:rsid w:val="001508EF"/>
    <w:rsid w:val="00150AD1"/>
    <w:rsid w:val="00150E02"/>
    <w:rsid w:val="00151005"/>
    <w:rsid w:val="00152F0D"/>
    <w:rsid w:val="001553B9"/>
    <w:rsid w:val="00155A73"/>
    <w:rsid w:val="0016163C"/>
    <w:rsid w:val="00162320"/>
    <w:rsid w:val="001627D5"/>
    <w:rsid w:val="001651DB"/>
    <w:rsid w:val="00165B44"/>
    <w:rsid w:val="00166996"/>
    <w:rsid w:val="0016718C"/>
    <w:rsid w:val="00172AEB"/>
    <w:rsid w:val="00173CFC"/>
    <w:rsid w:val="0017515C"/>
    <w:rsid w:val="001765BD"/>
    <w:rsid w:val="00177C70"/>
    <w:rsid w:val="00180A8C"/>
    <w:rsid w:val="00183B18"/>
    <w:rsid w:val="00184D7C"/>
    <w:rsid w:val="00186ADE"/>
    <w:rsid w:val="00187E65"/>
    <w:rsid w:val="001911F3"/>
    <w:rsid w:val="0019340E"/>
    <w:rsid w:val="0019491F"/>
    <w:rsid w:val="00194CC5"/>
    <w:rsid w:val="00197104"/>
    <w:rsid w:val="001A1061"/>
    <w:rsid w:val="001A191B"/>
    <w:rsid w:val="001A23AA"/>
    <w:rsid w:val="001A2BA6"/>
    <w:rsid w:val="001A376B"/>
    <w:rsid w:val="001A3CDE"/>
    <w:rsid w:val="001A65DA"/>
    <w:rsid w:val="001A6F64"/>
    <w:rsid w:val="001A7EFB"/>
    <w:rsid w:val="001B1939"/>
    <w:rsid w:val="001B42B8"/>
    <w:rsid w:val="001B4954"/>
    <w:rsid w:val="001B4E46"/>
    <w:rsid w:val="001B5DB9"/>
    <w:rsid w:val="001B5E8A"/>
    <w:rsid w:val="001B6B5D"/>
    <w:rsid w:val="001B7103"/>
    <w:rsid w:val="001B737D"/>
    <w:rsid w:val="001C2BD6"/>
    <w:rsid w:val="001C2FCB"/>
    <w:rsid w:val="001C5A68"/>
    <w:rsid w:val="001C7BA2"/>
    <w:rsid w:val="001C7FB3"/>
    <w:rsid w:val="001D1427"/>
    <w:rsid w:val="001D4AF8"/>
    <w:rsid w:val="001D5226"/>
    <w:rsid w:val="001D6B3A"/>
    <w:rsid w:val="001D734C"/>
    <w:rsid w:val="001D7F80"/>
    <w:rsid w:val="001E0809"/>
    <w:rsid w:val="001E3D3F"/>
    <w:rsid w:val="001E421A"/>
    <w:rsid w:val="001E5555"/>
    <w:rsid w:val="001E56CC"/>
    <w:rsid w:val="001E65C8"/>
    <w:rsid w:val="001E7EAB"/>
    <w:rsid w:val="001F13EC"/>
    <w:rsid w:val="001F7EA6"/>
    <w:rsid w:val="00201594"/>
    <w:rsid w:val="00202199"/>
    <w:rsid w:val="0020255D"/>
    <w:rsid w:val="00204F13"/>
    <w:rsid w:val="0020727B"/>
    <w:rsid w:val="0021291A"/>
    <w:rsid w:val="00213B53"/>
    <w:rsid w:val="002163FE"/>
    <w:rsid w:val="00217B38"/>
    <w:rsid w:val="00222CB4"/>
    <w:rsid w:val="00227A9C"/>
    <w:rsid w:val="00227D02"/>
    <w:rsid w:val="00230365"/>
    <w:rsid w:val="00230455"/>
    <w:rsid w:val="002307E7"/>
    <w:rsid w:val="00233677"/>
    <w:rsid w:val="00233A18"/>
    <w:rsid w:val="00234E2B"/>
    <w:rsid w:val="00235D3C"/>
    <w:rsid w:val="00237ABA"/>
    <w:rsid w:val="002401C4"/>
    <w:rsid w:val="00240FA5"/>
    <w:rsid w:val="0024229F"/>
    <w:rsid w:val="0024253A"/>
    <w:rsid w:val="00242F56"/>
    <w:rsid w:val="00244BB1"/>
    <w:rsid w:val="00245AD7"/>
    <w:rsid w:val="00246CA1"/>
    <w:rsid w:val="00247E93"/>
    <w:rsid w:val="00250259"/>
    <w:rsid w:val="00250B5C"/>
    <w:rsid w:val="0025178F"/>
    <w:rsid w:val="00251D30"/>
    <w:rsid w:val="0025299B"/>
    <w:rsid w:val="002536AA"/>
    <w:rsid w:val="002541FB"/>
    <w:rsid w:val="002549C0"/>
    <w:rsid w:val="002571A3"/>
    <w:rsid w:val="002573A6"/>
    <w:rsid w:val="00257D20"/>
    <w:rsid w:val="00260A23"/>
    <w:rsid w:val="00261937"/>
    <w:rsid w:val="00261C18"/>
    <w:rsid w:val="00265AE9"/>
    <w:rsid w:val="00266FB1"/>
    <w:rsid w:val="00267DCC"/>
    <w:rsid w:val="002735CF"/>
    <w:rsid w:val="002752FE"/>
    <w:rsid w:val="00277674"/>
    <w:rsid w:val="00277A9C"/>
    <w:rsid w:val="00280BA4"/>
    <w:rsid w:val="002815A9"/>
    <w:rsid w:val="002828C4"/>
    <w:rsid w:val="002836FF"/>
    <w:rsid w:val="00284265"/>
    <w:rsid w:val="00285CBA"/>
    <w:rsid w:val="0028683C"/>
    <w:rsid w:val="00286E23"/>
    <w:rsid w:val="00287D65"/>
    <w:rsid w:val="002917AC"/>
    <w:rsid w:val="00293D36"/>
    <w:rsid w:val="00294393"/>
    <w:rsid w:val="00295F8E"/>
    <w:rsid w:val="00296FFE"/>
    <w:rsid w:val="002A04D3"/>
    <w:rsid w:val="002A1C85"/>
    <w:rsid w:val="002A281C"/>
    <w:rsid w:val="002A4315"/>
    <w:rsid w:val="002A49A9"/>
    <w:rsid w:val="002A5564"/>
    <w:rsid w:val="002A6764"/>
    <w:rsid w:val="002A6975"/>
    <w:rsid w:val="002A6C24"/>
    <w:rsid w:val="002B061F"/>
    <w:rsid w:val="002B0918"/>
    <w:rsid w:val="002B3FA7"/>
    <w:rsid w:val="002B57BF"/>
    <w:rsid w:val="002B6235"/>
    <w:rsid w:val="002B76B5"/>
    <w:rsid w:val="002C1C56"/>
    <w:rsid w:val="002C33D6"/>
    <w:rsid w:val="002C4868"/>
    <w:rsid w:val="002C4B64"/>
    <w:rsid w:val="002C72DC"/>
    <w:rsid w:val="002D7538"/>
    <w:rsid w:val="002E016F"/>
    <w:rsid w:val="002E1710"/>
    <w:rsid w:val="002E1AA2"/>
    <w:rsid w:val="002E55D6"/>
    <w:rsid w:val="002E660C"/>
    <w:rsid w:val="002E7B7A"/>
    <w:rsid w:val="002F188B"/>
    <w:rsid w:val="002F2303"/>
    <w:rsid w:val="002F368F"/>
    <w:rsid w:val="00300321"/>
    <w:rsid w:val="0030536E"/>
    <w:rsid w:val="0030549F"/>
    <w:rsid w:val="0030571C"/>
    <w:rsid w:val="003065B1"/>
    <w:rsid w:val="00306927"/>
    <w:rsid w:val="00306AE1"/>
    <w:rsid w:val="00307088"/>
    <w:rsid w:val="00307A5E"/>
    <w:rsid w:val="00307F39"/>
    <w:rsid w:val="0031180D"/>
    <w:rsid w:val="003123C2"/>
    <w:rsid w:val="003126BF"/>
    <w:rsid w:val="003135D7"/>
    <w:rsid w:val="003146B9"/>
    <w:rsid w:val="0031688C"/>
    <w:rsid w:val="00317715"/>
    <w:rsid w:val="003205CD"/>
    <w:rsid w:val="003216DA"/>
    <w:rsid w:val="00321CD6"/>
    <w:rsid w:val="00325BC3"/>
    <w:rsid w:val="00327C91"/>
    <w:rsid w:val="003300E2"/>
    <w:rsid w:val="0033094A"/>
    <w:rsid w:val="00330F5F"/>
    <w:rsid w:val="00331797"/>
    <w:rsid w:val="00331DC5"/>
    <w:rsid w:val="003329CD"/>
    <w:rsid w:val="00334794"/>
    <w:rsid w:val="00334AC2"/>
    <w:rsid w:val="00337B96"/>
    <w:rsid w:val="003403B6"/>
    <w:rsid w:val="00340E49"/>
    <w:rsid w:val="00340FAD"/>
    <w:rsid w:val="00341043"/>
    <w:rsid w:val="0034136D"/>
    <w:rsid w:val="003432F2"/>
    <w:rsid w:val="0034439E"/>
    <w:rsid w:val="00344C92"/>
    <w:rsid w:val="00344CC8"/>
    <w:rsid w:val="00345246"/>
    <w:rsid w:val="00346588"/>
    <w:rsid w:val="00346EF5"/>
    <w:rsid w:val="00347067"/>
    <w:rsid w:val="003508E7"/>
    <w:rsid w:val="00350E5D"/>
    <w:rsid w:val="00354E7B"/>
    <w:rsid w:val="00354FA5"/>
    <w:rsid w:val="003577F1"/>
    <w:rsid w:val="00360626"/>
    <w:rsid w:val="003613A9"/>
    <w:rsid w:val="003627DC"/>
    <w:rsid w:val="00364CA9"/>
    <w:rsid w:val="003663A4"/>
    <w:rsid w:val="003669FD"/>
    <w:rsid w:val="00367188"/>
    <w:rsid w:val="003673B2"/>
    <w:rsid w:val="00367A29"/>
    <w:rsid w:val="003700FD"/>
    <w:rsid w:val="00371591"/>
    <w:rsid w:val="00371947"/>
    <w:rsid w:val="00371E6A"/>
    <w:rsid w:val="003748FD"/>
    <w:rsid w:val="0038296F"/>
    <w:rsid w:val="003859C8"/>
    <w:rsid w:val="00386D87"/>
    <w:rsid w:val="00387B7F"/>
    <w:rsid w:val="00387E5D"/>
    <w:rsid w:val="00390A69"/>
    <w:rsid w:val="00390BB2"/>
    <w:rsid w:val="00390EDF"/>
    <w:rsid w:val="00393982"/>
    <w:rsid w:val="00397A02"/>
    <w:rsid w:val="003A0C4B"/>
    <w:rsid w:val="003A131E"/>
    <w:rsid w:val="003A3B83"/>
    <w:rsid w:val="003A5140"/>
    <w:rsid w:val="003A7A2A"/>
    <w:rsid w:val="003B0D98"/>
    <w:rsid w:val="003B3634"/>
    <w:rsid w:val="003B40E0"/>
    <w:rsid w:val="003B67B7"/>
    <w:rsid w:val="003C276C"/>
    <w:rsid w:val="003C41A9"/>
    <w:rsid w:val="003C4EF9"/>
    <w:rsid w:val="003C5910"/>
    <w:rsid w:val="003C593B"/>
    <w:rsid w:val="003C6FFA"/>
    <w:rsid w:val="003C7E75"/>
    <w:rsid w:val="003D0A1E"/>
    <w:rsid w:val="003D37DD"/>
    <w:rsid w:val="003D4EA4"/>
    <w:rsid w:val="003D53CA"/>
    <w:rsid w:val="003E4ED5"/>
    <w:rsid w:val="003E4F30"/>
    <w:rsid w:val="003E5742"/>
    <w:rsid w:val="003E5D1B"/>
    <w:rsid w:val="003E6FCF"/>
    <w:rsid w:val="003E7B7D"/>
    <w:rsid w:val="003F3162"/>
    <w:rsid w:val="004033A2"/>
    <w:rsid w:val="00403BD1"/>
    <w:rsid w:val="004104E3"/>
    <w:rsid w:val="004115A8"/>
    <w:rsid w:val="004121F1"/>
    <w:rsid w:val="00412275"/>
    <w:rsid w:val="004128A9"/>
    <w:rsid w:val="004151BA"/>
    <w:rsid w:val="0041535F"/>
    <w:rsid w:val="00417B9B"/>
    <w:rsid w:val="00427AB4"/>
    <w:rsid w:val="00430D0C"/>
    <w:rsid w:val="00431550"/>
    <w:rsid w:val="00432CD1"/>
    <w:rsid w:val="00433549"/>
    <w:rsid w:val="0043493D"/>
    <w:rsid w:val="00436B6E"/>
    <w:rsid w:val="00437188"/>
    <w:rsid w:val="00441E92"/>
    <w:rsid w:val="00442B18"/>
    <w:rsid w:val="00442E62"/>
    <w:rsid w:val="004433B1"/>
    <w:rsid w:val="00446B79"/>
    <w:rsid w:val="0044747E"/>
    <w:rsid w:val="00447F49"/>
    <w:rsid w:val="004500BD"/>
    <w:rsid w:val="00454021"/>
    <w:rsid w:val="00455B8A"/>
    <w:rsid w:val="00460CF0"/>
    <w:rsid w:val="00463F0A"/>
    <w:rsid w:val="00466F7F"/>
    <w:rsid w:val="00477BC6"/>
    <w:rsid w:val="0048253E"/>
    <w:rsid w:val="00482F12"/>
    <w:rsid w:val="00483756"/>
    <w:rsid w:val="00484327"/>
    <w:rsid w:val="00485553"/>
    <w:rsid w:val="004855CE"/>
    <w:rsid w:val="004924DC"/>
    <w:rsid w:val="004942B7"/>
    <w:rsid w:val="0049553F"/>
    <w:rsid w:val="00496DE6"/>
    <w:rsid w:val="004971CE"/>
    <w:rsid w:val="00497818"/>
    <w:rsid w:val="004A25F1"/>
    <w:rsid w:val="004A326A"/>
    <w:rsid w:val="004A484E"/>
    <w:rsid w:val="004A5386"/>
    <w:rsid w:val="004A5B96"/>
    <w:rsid w:val="004B0B3F"/>
    <w:rsid w:val="004B41A6"/>
    <w:rsid w:val="004B5E35"/>
    <w:rsid w:val="004B6E40"/>
    <w:rsid w:val="004C0389"/>
    <w:rsid w:val="004C2AAA"/>
    <w:rsid w:val="004C38A3"/>
    <w:rsid w:val="004C5721"/>
    <w:rsid w:val="004C6E12"/>
    <w:rsid w:val="004C702C"/>
    <w:rsid w:val="004D295C"/>
    <w:rsid w:val="004D3318"/>
    <w:rsid w:val="004D3F5C"/>
    <w:rsid w:val="004D45ED"/>
    <w:rsid w:val="004D5AB4"/>
    <w:rsid w:val="004D5ECD"/>
    <w:rsid w:val="004D618B"/>
    <w:rsid w:val="004D61E7"/>
    <w:rsid w:val="004D685A"/>
    <w:rsid w:val="004D7E65"/>
    <w:rsid w:val="004E01C2"/>
    <w:rsid w:val="004E3F2B"/>
    <w:rsid w:val="004E6F6F"/>
    <w:rsid w:val="004E7864"/>
    <w:rsid w:val="004F61EC"/>
    <w:rsid w:val="004F666D"/>
    <w:rsid w:val="00500B3F"/>
    <w:rsid w:val="00501354"/>
    <w:rsid w:val="005021F7"/>
    <w:rsid w:val="00504DBC"/>
    <w:rsid w:val="005051B7"/>
    <w:rsid w:val="00505A41"/>
    <w:rsid w:val="00505D7F"/>
    <w:rsid w:val="00506019"/>
    <w:rsid w:val="00510950"/>
    <w:rsid w:val="00510AA3"/>
    <w:rsid w:val="00510FFD"/>
    <w:rsid w:val="00512010"/>
    <w:rsid w:val="0051284E"/>
    <w:rsid w:val="0051335C"/>
    <w:rsid w:val="00513950"/>
    <w:rsid w:val="00513CF7"/>
    <w:rsid w:val="00515CB6"/>
    <w:rsid w:val="00517ADA"/>
    <w:rsid w:val="005215FB"/>
    <w:rsid w:val="005225FA"/>
    <w:rsid w:val="00523BE7"/>
    <w:rsid w:val="0052403E"/>
    <w:rsid w:val="005242FB"/>
    <w:rsid w:val="0052552D"/>
    <w:rsid w:val="00525EBF"/>
    <w:rsid w:val="00526672"/>
    <w:rsid w:val="005277EA"/>
    <w:rsid w:val="005312F2"/>
    <w:rsid w:val="00534A26"/>
    <w:rsid w:val="00536C3A"/>
    <w:rsid w:val="00536E48"/>
    <w:rsid w:val="005378EF"/>
    <w:rsid w:val="005408A4"/>
    <w:rsid w:val="005410C9"/>
    <w:rsid w:val="0054183E"/>
    <w:rsid w:val="00541A36"/>
    <w:rsid w:val="005432B2"/>
    <w:rsid w:val="00544A8C"/>
    <w:rsid w:val="00545362"/>
    <w:rsid w:val="0054623D"/>
    <w:rsid w:val="005462D1"/>
    <w:rsid w:val="00546B8A"/>
    <w:rsid w:val="00546D9D"/>
    <w:rsid w:val="00546DB2"/>
    <w:rsid w:val="00550D89"/>
    <w:rsid w:val="00554319"/>
    <w:rsid w:val="00555A5B"/>
    <w:rsid w:val="00557251"/>
    <w:rsid w:val="005575CC"/>
    <w:rsid w:val="00557D38"/>
    <w:rsid w:val="00560FD3"/>
    <w:rsid w:val="005615A7"/>
    <w:rsid w:val="005620D6"/>
    <w:rsid w:val="00562C8B"/>
    <w:rsid w:val="00562DC9"/>
    <w:rsid w:val="0056648D"/>
    <w:rsid w:val="005668E4"/>
    <w:rsid w:val="00567183"/>
    <w:rsid w:val="00571E78"/>
    <w:rsid w:val="00573DEF"/>
    <w:rsid w:val="00573E0A"/>
    <w:rsid w:val="005744FF"/>
    <w:rsid w:val="005772D4"/>
    <w:rsid w:val="00581B3C"/>
    <w:rsid w:val="005827BC"/>
    <w:rsid w:val="0058344C"/>
    <w:rsid w:val="00585361"/>
    <w:rsid w:val="00586812"/>
    <w:rsid w:val="00586FD0"/>
    <w:rsid w:val="005900D8"/>
    <w:rsid w:val="0059106B"/>
    <w:rsid w:val="005930F9"/>
    <w:rsid w:val="0059398E"/>
    <w:rsid w:val="00596B42"/>
    <w:rsid w:val="00597495"/>
    <w:rsid w:val="005A060D"/>
    <w:rsid w:val="005A1E1A"/>
    <w:rsid w:val="005A3775"/>
    <w:rsid w:val="005A74FD"/>
    <w:rsid w:val="005A75BC"/>
    <w:rsid w:val="005B007E"/>
    <w:rsid w:val="005B097C"/>
    <w:rsid w:val="005B25AC"/>
    <w:rsid w:val="005B3A23"/>
    <w:rsid w:val="005B60F9"/>
    <w:rsid w:val="005B6B16"/>
    <w:rsid w:val="005C0574"/>
    <w:rsid w:val="005C260E"/>
    <w:rsid w:val="005C3816"/>
    <w:rsid w:val="005C584C"/>
    <w:rsid w:val="005C6D6B"/>
    <w:rsid w:val="005D061E"/>
    <w:rsid w:val="005D2072"/>
    <w:rsid w:val="005D2F3A"/>
    <w:rsid w:val="005D35A6"/>
    <w:rsid w:val="005D606F"/>
    <w:rsid w:val="005D6F38"/>
    <w:rsid w:val="005D7517"/>
    <w:rsid w:val="005E0E14"/>
    <w:rsid w:val="005E387C"/>
    <w:rsid w:val="005E3F87"/>
    <w:rsid w:val="005E48BA"/>
    <w:rsid w:val="005E7387"/>
    <w:rsid w:val="005E7C6E"/>
    <w:rsid w:val="005F06D7"/>
    <w:rsid w:val="005F1735"/>
    <w:rsid w:val="005F2EBC"/>
    <w:rsid w:val="005F32EC"/>
    <w:rsid w:val="005F3607"/>
    <w:rsid w:val="005F4188"/>
    <w:rsid w:val="005F5416"/>
    <w:rsid w:val="005F6812"/>
    <w:rsid w:val="005F74E8"/>
    <w:rsid w:val="00601242"/>
    <w:rsid w:val="00601B8D"/>
    <w:rsid w:val="00601F56"/>
    <w:rsid w:val="006025B9"/>
    <w:rsid w:val="00606E86"/>
    <w:rsid w:val="00610644"/>
    <w:rsid w:val="00614622"/>
    <w:rsid w:val="00614BA1"/>
    <w:rsid w:val="00620BE2"/>
    <w:rsid w:val="006210C7"/>
    <w:rsid w:val="0062116C"/>
    <w:rsid w:val="0062232A"/>
    <w:rsid w:val="00622F47"/>
    <w:rsid w:val="0062336C"/>
    <w:rsid w:val="00624C28"/>
    <w:rsid w:val="00625352"/>
    <w:rsid w:val="006253ED"/>
    <w:rsid w:val="0062590B"/>
    <w:rsid w:val="00627869"/>
    <w:rsid w:val="00631A1B"/>
    <w:rsid w:val="00631C87"/>
    <w:rsid w:val="00633CBB"/>
    <w:rsid w:val="0063573A"/>
    <w:rsid w:val="00635C99"/>
    <w:rsid w:val="006365BB"/>
    <w:rsid w:val="00636DA1"/>
    <w:rsid w:val="006375A1"/>
    <w:rsid w:val="00646497"/>
    <w:rsid w:val="006501B5"/>
    <w:rsid w:val="00652869"/>
    <w:rsid w:val="006601D1"/>
    <w:rsid w:val="0066104D"/>
    <w:rsid w:val="00661BF5"/>
    <w:rsid w:val="0066314C"/>
    <w:rsid w:val="00663C5C"/>
    <w:rsid w:val="00664672"/>
    <w:rsid w:val="00670EE7"/>
    <w:rsid w:val="006726E5"/>
    <w:rsid w:val="00675661"/>
    <w:rsid w:val="0067747F"/>
    <w:rsid w:val="00677E34"/>
    <w:rsid w:val="00680DF7"/>
    <w:rsid w:val="00680E25"/>
    <w:rsid w:val="00682D9B"/>
    <w:rsid w:val="00682FFF"/>
    <w:rsid w:val="0068488E"/>
    <w:rsid w:val="00685EF6"/>
    <w:rsid w:val="0068691C"/>
    <w:rsid w:val="006879E5"/>
    <w:rsid w:val="00687F2A"/>
    <w:rsid w:val="00690432"/>
    <w:rsid w:val="006933CE"/>
    <w:rsid w:val="0069482F"/>
    <w:rsid w:val="00694C5C"/>
    <w:rsid w:val="00696346"/>
    <w:rsid w:val="006967B8"/>
    <w:rsid w:val="00696EB9"/>
    <w:rsid w:val="006A0010"/>
    <w:rsid w:val="006A519B"/>
    <w:rsid w:val="006A5F06"/>
    <w:rsid w:val="006B05D9"/>
    <w:rsid w:val="006B063B"/>
    <w:rsid w:val="006B12DD"/>
    <w:rsid w:val="006B1BC6"/>
    <w:rsid w:val="006B45EA"/>
    <w:rsid w:val="006B4F54"/>
    <w:rsid w:val="006C121C"/>
    <w:rsid w:val="006C32FB"/>
    <w:rsid w:val="006C52AA"/>
    <w:rsid w:val="006C5E09"/>
    <w:rsid w:val="006C655D"/>
    <w:rsid w:val="006C6707"/>
    <w:rsid w:val="006D2A18"/>
    <w:rsid w:val="006E190B"/>
    <w:rsid w:val="006E2123"/>
    <w:rsid w:val="006E3300"/>
    <w:rsid w:val="006E33B9"/>
    <w:rsid w:val="006E5EF8"/>
    <w:rsid w:val="006E7EA6"/>
    <w:rsid w:val="006F0A65"/>
    <w:rsid w:val="006F1616"/>
    <w:rsid w:val="006F4FBF"/>
    <w:rsid w:val="006F5F36"/>
    <w:rsid w:val="00700F17"/>
    <w:rsid w:val="00701496"/>
    <w:rsid w:val="00702A1C"/>
    <w:rsid w:val="00703571"/>
    <w:rsid w:val="00703C4D"/>
    <w:rsid w:val="00706494"/>
    <w:rsid w:val="007076C8"/>
    <w:rsid w:val="00707927"/>
    <w:rsid w:val="00710011"/>
    <w:rsid w:val="00710184"/>
    <w:rsid w:val="00713FDC"/>
    <w:rsid w:val="007148DB"/>
    <w:rsid w:val="00717956"/>
    <w:rsid w:val="0072048E"/>
    <w:rsid w:val="00722E3F"/>
    <w:rsid w:val="00726866"/>
    <w:rsid w:val="00726923"/>
    <w:rsid w:val="00731572"/>
    <w:rsid w:val="00733909"/>
    <w:rsid w:val="00734270"/>
    <w:rsid w:val="00735E12"/>
    <w:rsid w:val="00741AAB"/>
    <w:rsid w:val="00741C30"/>
    <w:rsid w:val="007442EA"/>
    <w:rsid w:val="0074502F"/>
    <w:rsid w:val="0074605F"/>
    <w:rsid w:val="007472AA"/>
    <w:rsid w:val="00747A58"/>
    <w:rsid w:val="00750A09"/>
    <w:rsid w:val="00750F23"/>
    <w:rsid w:val="00751487"/>
    <w:rsid w:val="007524DD"/>
    <w:rsid w:val="00753FBB"/>
    <w:rsid w:val="00755D40"/>
    <w:rsid w:val="0075609D"/>
    <w:rsid w:val="007625A6"/>
    <w:rsid w:val="0076487E"/>
    <w:rsid w:val="00765669"/>
    <w:rsid w:val="00765964"/>
    <w:rsid w:val="00767C38"/>
    <w:rsid w:val="007728EC"/>
    <w:rsid w:val="00773963"/>
    <w:rsid w:val="007747DB"/>
    <w:rsid w:val="00774B06"/>
    <w:rsid w:val="00774E37"/>
    <w:rsid w:val="007776DC"/>
    <w:rsid w:val="00777C1D"/>
    <w:rsid w:val="00777F48"/>
    <w:rsid w:val="00780046"/>
    <w:rsid w:val="00780AF7"/>
    <w:rsid w:val="00781BA9"/>
    <w:rsid w:val="0078203A"/>
    <w:rsid w:val="007902B8"/>
    <w:rsid w:val="00792896"/>
    <w:rsid w:val="007934D2"/>
    <w:rsid w:val="007A106B"/>
    <w:rsid w:val="007A1745"/>
    <w:rsid w:val="007A27B3"/>
    <w:rsid w:val="007A2CC1"/>
    <w:rsid w:val="007A3755"/>
    <w:rsid w:val="007A5AA2"/>
    <w:rsid w:val="007B0237"/>
    <w:rsid w:val="007B19DD"/>
    <w:rsid w:val="007B1AD0"/>
    <w:rsid w:val="007B5CCE"/>
    <w:rsid w:val="007B5DA3"/>
    <w:rsid w:val="007B6193"/>
    <w:rsid w:val="007C297E"/>
    <w:rsid w:val="007C548C"/>
    <w:rsid w:val="007C64E5"/>
    <w:rsid w:val="007D23F1"/>
    <w:rsid w:val="007D23F2"/>
    <w:rsid w:val="007D468D"/>
    <w:rsid w:val="007D4B9D"/>
    <w:rsid w:val="007D4F44"/>
    <w:rsid w:val="007D6A8D"/>
    <w:rsid w:val="007D70CD"/>
    <w:rsid w:val="007D74CE"/>
    <w:rsid w:val="007E20C9"/>
    <w:rsid w:val="007E7342"/>
    <w:rsid w:val="007F0AB2"/>
    <w:rsid w:val="007F205F"/>
    <w:rsid w:val="007F370C"/>
    <w:rsid w:val="007F4891"/>
    <w:rsid w:val="008006DB"/>
    <w:rsid w:val="00801875"/>
    <w:rsid w:val="008027B6"/>
    <w:rsid w:val="008029AE"/>
    <w:rsid w:val="00802CC3"/>
    <w:rsid w:val="0080497B"/>
    <w:rsid w:val="00811C85"/>
    <w:rsid w:val="008140C5"/>
    <w:rsid w:val="00820F70"/>
    <w:rsid w:val="008220C0"/>
    <w:rsid w:val="00822A15"/>
    <w:rsid w:val="00825355"/>
    <w:rsid w:val="00825DD0"/>
    <w:rsid w:val="00826088"/>
    <w:rsid w:val="00826E6F"/>
    <w:rsid w:val="00827009"/>
    <w:rsid w:val="008311B4"/>
    <w:rsid w:val="0083282C"/>
    <w:rsid w:val="00832DC1"/>
    <w:rsid w:val="00837841"/>
    <w:rsid w:val="00840681"/>
    <w:rsid w:val="00840747"/>
    <w:rsid w:val="0084083F"/>
    <w:rsid w:val="0084215A"/>
    <w:rsid w:val="00844C71"/>
    <w:rsid w:val="008460ED"/>
    <w:rsid w:val="00846E82"/>
    <w:rsid w:val="008475BB"/>
    <w:rsid w:val="00850F39"/>
    <w:rsid w:val="00855B31"/>
    <w:rsid w:val="008563F8"/>
    <w:rsid w:val="00856543"/>
    <w:rsid w:val="00861298"/>
    <w:rsid w:val="008614D1"/>
    <w:rsid w:val="008633A2"/>
    <w:rsid w:val="008633A7"/>
    <w:rsid w:val="008634D3"/>
    <w:rsid w:val="008640D8"/>
    <w:rsid w:val="00865083"/>
    <w:rsid w:val="008655F4"/>
    <w:rsid w:val="0086598E"/>
    <w:rsid w:val="00870536"/>
    <w:rsid w:val="0087091F"/>
    <w:rsid w:val="00875042"/>
    <w:rsid w:val="00875C16"/>
    <w:rsid w:val="00875D6F"/>
    <w:rsid w:val="00884174"/>
    <w:rsid w:val="00885A13"/>
    <w:rsid w:val="00885A22"/>
    <w:rsid w:val="00886B03"/>
    <w:rsid w:val="00887873"/>
    <w:rsid w:val="00887BAE"/>
    <w:rsid w:val="00890BF9"/>
    <w:rsid w:val="00890FE9"/>
    <w:rsid w:val="00891EA0"/>
    <w:rsid w:val="00896D8A"/>
    <w:rsid w:val="00896DBE"/>
    <w:rsid w:val="00897102"/>
    <w:rsid w:val="008A2078"/>
    <w:rsid w:val="008A214E"/>
    <w:rsid w:val="008A2B88"/>
    <w:rsid w:val="008A4AC1"/>
    <w:rsid w:val="008A4FCF"/>
    <w:rsid w:val="008A4FDC"/>
    <w:rsid w:val="008A61BF"/>
    <w:rsid w:val="008A6A63"/>
    <w:rsid w:val="008A7506"/>
    <w:rsid w:val="008B1C83"/>
    <w:rsid w:val="008B37DF"/>
    <w:rsid w:val="008B3E64"/>
    <w:rsid w:val="008B576E"/>
    <w:rsid w:val="008B6474"/>
    <w:rsid w:val="008B64F0"/>
    <w:rsid w:val="008C02AC"/>
    <w:rsid w:val="008C0EE8"/>
    <w:rsid w:val="008C0FC4"/>
    <w:rsid w:val="008C45A7"/>
    <w:rsid w:val="008C6D6A"/>
    <w:rsid w:val="008D0741"/>
    <w:rsid w:val="008D1E90"/>
    <w:rsid w:val="008D56AA"/>
    <w:rsid w:val="008E0A10"/>
    <w:rsid w:val="008E2660"/>
    <w:rsid w:val="008E37E3"/>
    <w:rsid w:val="008E4331"/>
    <w:rsid w:val="008E4712"/>
    <w:rsid w:val="008E5299"/>
    <w:rsid w:val="008E6F8A"/>
    <w:rsid w:val="008F0B8A"/>
    <w:rsid w:val="008F0C48"/>
    <w:rsid w:val="008F3E83"/>
    <w:rsid w:val="008F4365"/>
    <w:rsid w:val="008F6045"/>
    <w:rsid w:val="00907D18"/>
    <w:rsid w:val="0091342B"/>
    <w:rsid w:val="009244F1"/>
    <w:rsid w:val="00924631"/>
    <w:rsid w:val="009250C6"/>
    <w:rsid w:val="00926784"/>
    <w:rsid w:val="0092680D"/>
    <w:rsid w:val="00930894"/>
    <w:rsid w:val="009309FF"/>
    <w:rsid w:val="00930E4D"/>
    <w:rsid w:val="00933100"/>
    <w:rsid w:val="009348B7"/>
    <w:rsid w:val="0094370D"/>
    <w:rsid w:val="009462E7"/>
    <w:rsid w:val="00951FEC"/>
    <w:rsid w:val="00952503"/>
    <w:rsid w:val="00952979"/>
    <w:rsid w:val="0095358E"/>
    <w:rsid w:val="0095368B"/>
    <w:rsid w:val="009559E0"/>
    <w:rsid w:val="009563F7"/>
    <w:rsid w:val="00957B35"/>
    <w:rsid w:val="009612A4"/>
    <w:rsid w:val="009634CD"/>
    <w:rsid w:val="00964339"/>
    <w:rsid w:val="009646A6"/>
    <w:rsid w:val="00964B4C"/>
    <w:rsid w:val="00964F96"/>
    <w:rsid w:val="009660C4"/>
    <w:rsid w:val="009668A5"/>
    <w:rsid w:val="00966901"/>
    <w:rsid w:val="00970CB0"/>
    <w:rsid w:val="0097148C"/>
    <w:rsid w:val="009720EE"/>
    <w:rsid w:val="00972190"/>
    <w:rsid w:val="0097297B"/>
    <w:rsid w:val="00972CC6"/>
    <w:rsid w:val="00974FBD"/>
    <w:rsid w:val="00977273"/>
    <w:rsid w:val="0097734B"/>
    <w:rsid w:val="00977520"/>
    <w:rsid w:val="0097759D"/>
    <w:rsid w:val="00977D8F"/>
    <w:rsid w:val="00980160"/>
    <w:rsid w:val="00980527"/>
    <w:rsid w:val="009935D5"/>
    <w:rsid w:val="009939AC"/>
    <w:rsid w:val="009A0C6A"/>
    <w:rsid w:val="009A28A0"/>
    <w:rsid w:val="009A3BD8"/>
    <w:rsid w:val="009A5093"/>
    <w:rsid w:val="009B0179"/>
    <w:rsid w:val="009B0D3D"/>
    <w:rsid w:val="009B4B0C"/>
    <w:rsid w:val="009B7B3E"/>
    <w:rsid w:val="009C12DA"/>
    <w:rsid w:val="009C16EA"/>
    <w:rsid w:val="009C31F0"/>
    <w:rsid w:val="009C4D53"/>
    <w:rsid w:val="009C5B34"/>
    <w:rsid w:val="009C6601"/>
    <w:rsid w:val="009C6A5E"/>
    <w:rsid w:val="009C6F08"/>
    <w:rsid w:val="009C6FCA"/>
    <w:rsid w:val="009C736D"/>
    <w:rsid w:val="009D0C96"/>
    <w:rsid w:val="009D0D88"/>
    <w:rsid w:val="009D1EDD"/>
    <w:rsid w:val="009D236E"/>
    <w:rsid w:val="009D2504"/>
    <w:rsid w:val="009D28E8"/>
    <w:rsid w:val="009D36B0"/>
    <w:rsid w:val="009E2E88"/>
    <w:rsid w:val="009E41FD"/>
    <w:rsid w:val="009E67E9"/>
    <w:rsid w:val="009E68CC"/>
    <w:rsid w:val="009E6F37"/>
    <w:rsid w:val="009F0434"/>
    <w:rsid w:val="009F0D8A"/>
    <w:rsid w:val="009F1F90"/>
    <w:rsid w:val="009F4CE9"/>
    <w:rsid w:val="009F77BE"/>
    <w:rsid w:val="009F7D38"/>
    <w:rsid w:val="00A01063"/>
    <w:rsid w:val="00A01CAD"/>
    <w:rsid w:val="00A02DBC"/>
    <w:rsid w:val="00A048E6"/>
    <w:rsid w:val="00A06097"/>
    <w:rsid w:val="00A065BD"/>
    <w:rsid w:val="00A12854"/>
    <w:rsid w:val="00A12A5A"/>
    <w:rsid w:val="00A13DA4"/>
    <w:rsid w:val="00A14872"/>
    <w:rsid w:val="00A16714"/>
    <w:rsid w:val="00A17200"/>
    <w:rsid w:val="00A176C9"/>
    <w:rsid w:val="00A178D8"/>
    <w:rsid w:val="00A25285"/>
    <w:rsid w:val="00A303A5"/>
    <w:rsid w:val="00A30AE0"/>
    <w:rsid w:val="00A313E6"/>
    <w:rsid w:val="00A3303B"/>
    <w:rsid w:val="00A33AE7"/>
    <w:rsid w:val="00A3604A"/>
    <w:rsid w:val="00A424AF"/>
    <w:rsid w:val="00A43B94"/>
    <w:rsid w:val="00A450D0"/>
    <w:rsid w:val="00A46178"/>
    <w:rsid w:val="00A47957"/>
    <w:rsid w:val="00A5100E"/>
    <w:rsid w:val="00A52251"/>
    <w:rsid w:val="00A5387C"/>
    <w:rsid w:val="00A53D44"/>
    <w:rsid w:val="00A556CF"/>
    <w:rsid w:val="00A561DA"/>
    <w:rsid w:val="00A57A92"/>
    <w:rsid w:val="00A6163A"/>
    <w:rsid w:val="00A64627"/>
    <w:rsid w:val="00A65D54"/>
    <w:rsid w:val="00A829C6"/>
    <w:rsid w:val="00A8355E"/>
    <w:rsid w:val="00A843D0"/>
    <w:rsid w:val="00A85C14"/>
    <w:rsid w:val="00A86657"/>
    <w:rsid w:val="00A86C25"/>
    <w:rsid w:val="00A86C33"/>
    <w:rsid w:val="00A87C77"/>
    <w:rsid w:val="00A95EE8"/>
    <w:rsid w:val="00A968CE"/>
    <w:rsid w:val="00A97BDC"/>
    <w:rsid w:val="00AA280C"/>
    <w:rsid w:val="00AA6E84"/>
    <w:rsid w:val="00AB1259"/>
    <w:rsid w:val="00AB2BD6"/>
    <w:rsid w:val="00AB4015"/>
    <w:rsid w:val="00AC2283"/>
    <w:rsid w:val="00AC619A"/>
    <w:rsid w:val="00AD0C19"/>
    <w:rsid w:val="00AD1FCC"/>
    <w:rsid w:val="00AD2322"/>
    <w:rsid w:val="00AD2BA2"/>
    <w:rsid w:val="00AD2C2E"/>
    <w:rsid w:val="00AD4A18"/>
    <w:rsid w:val="00AD78AB"/>
    <w:rsid w:val="00AE19FC"/>
    <w:rsid w:val="00AE1D90"/>
    <w:rsid w:val="00AE7213"/>
    <w:rsid w:val="00AE7991"/>
    <w:rsid w:val="00AF04FC"/>
    <w:rsid w:val="00AF0517"/>
    <w:rsid w:val="00AF3979"/>
    <w:rsid w:val="00AF5109"/>
    <w:rsid w:val="00B01065"/>
    <w:rsid w:val="00B03E7D"/>
    <w:rsid w:val="00B04B9C"/>
    <w:rsid w:val="00B0576B"/>
    <w:rsid w:val="00B05E61"/>
    <w:rsid w:val="00B06508"/>
    <w:rsid w:val="00B073CB"/>
    <w:rsid w:val="00B07B68"/>
    <w:rsid w:val="00B10C49"/>
    <w:rsid w:val="00B15F45"/>
    <w:rsid w:val="00B1789D"/>
    <w:rsid w:val="00B17BC5"/>
    <w:rsid w:val="00B214C9"/>
    <w:rsid w:val="00B21C2B"/>
    <w:rsid w:val="00B2380D"/>
    <w:rsid w:val="00B24794"/>
    <w:rsid w:val="00B2575C"/>
    <w:rsid w:val="00B266E4"/>
    <w:rsid w:val="00B27264"/>
    <w:rsid w:val="00B31551"/>
    <w:rsid w:val="00B3554F"/>
    <w:rsid w:val="00B356DB"/>
    <w:rsid w:val="00B35714"/>
    <w:rsid w:val="00B36FCB"/>
    <w:rsid w:val="00B37EBC"/>
    <w:rsid w:val="00B402B7"/>
    <w:rsid w:val="00B43C45"/>
    <w:rsid w:val="00B4521B"/>
    <w:rsid w:val="00B520BF"/>
    <w:rsid w:val="00B550E0"/>
    <w:rsid w:val="00B60959"/>
    <w:rsid w:val="00B60B6F"/>
    <w:rsid w:val="00B60C63"/>
    <w:rsid w:val="00B6132E"/>
    <w:rsid w:val="00B6411B"/>
    <w:rsid w:val="00B70911"/>
    <w:rsid w:val="00B70DB3"/>
    <w:rsid w:val="00B711EF"/>
    <w:rsid w:val="00B75DBA"/>
    <w:rsid w:val="00B76566"/>
    <w:rsid w:val="00B827B6"/>
    <w:rsid w:val="00B8337A"/>
    <w:rsid w:val="00B83CBD"/>
    <w:rsid w:val="00B851EB"/>
    <w:rsid w:val="00B85E41"/>
    <w:rsid w:val="00B867B6"/>
    <w:rsid w:val="00B86F4F"/>
    <w:rsid w:val="00B8727B"/>
    <w:rsid w:val="00B9146F"/>
    <w:rsid w:val="00B92737"/>
    <w:rsid w:val="00B92EDF"/>
    <w:rsid w:val="00B959B8"/>
    <w:rsid w:val="00B97CC4"/>
    <w:rsid w:val="00BA0437"/>
    <w:rsid w:val="00BA0943"/>
    <w:rsid w:val="00BA0B00"/>
    <w:rsid w:val="00BA1E23"/>
    <w:rsid w:val="00BA339A"/>
    <w:rsid w:val="00BA39E0"/>
    <w:rsid w:val="00BA42D1"/>
    <w:rsid w:val="00BA437E"/>
    <w:rsid w:val="00BA508D"/>
    <w:rsid w:val="00BA5B63"/>
    <w:rsid w:val="00BA5E97"/>
    <w:rsid w:val="00BA6CA2"/>
    <w:rsid w:val="00BB0F3A"/>
    <w:rsid w:val="00BB2A28"/>
    <w:rsid w:val="00BB7130"/>
    <w:rsid w:val="00BC60AA"/>
    <w:rsid w:val="00BC7B0D"/>
    <w:rsid w:val="00BD02E7"/>
    <w:rsid w:val="00BD222B"/>
    <w:rsid w:val="00BD2CB9"/>
    <w:rsid w:val="00BD2DBF"/>
    <w:rsid w:val="00BD3912"/>
    <w:rsid w:val="00BD49AC"/>
    <w:rsid w:val="00BD6125"/>
    <w:rsid w:val="00BD6BA6"/>
    <w:rsid w:val="00BE1837"/>
    <w:rsid w:val="00BE31F3"/>
    <w:rsid w:val="00BE4351"/>
    <w:rsid w:val="00BE5666"/>
    <w:rsid w:val="00BE5AEC"/>
    <w:rsid w:val="00BE6891"/>
    <w:rsid w:val="00BF02BC"/>
    <w:rsid w:val="00BF4921"/>
    <w:rsid w:val="00BF5751"/>
    <w:rsid w:val="00BF6378"/>
    <w:rsid w:val="00C0150E"/>
    <w:rsid w:val="00C02AF5"/>
    <w:rsid w:val="00C03534"/>
    <w:rsid w:val="00C04BC0"/>
    <w:rsid w:val="00C055AA"/>
    <w:rsid w:val="00C05743"/>
    <w:rsid w:val="00C0687B"/>
    <w:rsid w:val="00C074AF"/>
    <w:rsid w:val="00C079BC"/>
    <w:rsid w:val="00C10E99"/>
    <w:rsid w:val="00C1148C"/>
    <w:rsid w:val="00C12193"/>
    <w:rsid w:val="00C1260A"/>
    <w:rsid w:val="00C12948"/>
    <w:rsid w:val="00C154CE"/>
    <w:rsid w:val="00C16476"/>
    <w:rsid w:val="00C164D9"/>
    <w:rsid w:val="00C1752B"/>
    <w:rsid w:val="00C20184"/>
    <w:rsid w:val="00C2316E"/>
    <w:rsid w:val="00C245B1"/>
    <w:rsid w:val="00C255E0"/>
    <w:rsid w:val="00C2753D"/>
    <w:rsid w:val="00C35345"/>
    <w:rsid w:val="00C37577"/>
    <w:rsid w:val="00C40957"/>
    <w:rsid w:val="00C40993"/>
    <w:rsid w:val="00C439ED"/>
    <w:rsid w:val="00C45873"/>
    <w:rsid w:val="00C459BB"/>
    <w:rsid w:val="00C460ED"/>
    <w:rsid w:val="00C47EFD"/>
    <w:rsid w:val="00C509E5"/>
    <w:rsid w:val="00C50B42"/>
    <w:rsid w:val="00C51AA9"/>
    <w:rsid w:val="00C53B98"/>
    <w:rsid w:val="00C53B9C"/>
    <w:rsid w:val="00C5464E"/>
    <w:rsid w:val="00C56699"/>
    <w:rsid w:val="00C57961"/>
    <w:rsid w:val="00C57AC7"/>
    <w:rsid w:val="00C606EE"/>
    <w:rsid w:val="00C62031"/>
    <w:rsid w:val="00C63882"/>
    <w:rsid w:val="00C66015"/>
    <w:rsid w:val="00C6758A"/>
    <w:rsid w:val="00C67656"/>
    <w:rsid w:val="00C735E6"/>
    <w:rsid w:val="00C7610A"/>
    <w:rsid w:val="00C76585"/>
    <w:rsid w:val="00C80EE0"/>
    <w:rsid w:val="00C85600"/>
    <w:rsid w:val="00C85B85"/>
    <w:rsid w:val="00C85E78"/>
    <w:rsid w:val="00C8711D"/>
    <w:rsid w:val="00C905BE"/>
    <w:rsid w:val="00C95408"/>
    <w:rsid w:val="00C96733"/>
    <w:rsid w:val="00C97364"/>
    <w:rsid w:val="00CA20AD"/>
    <w:rsid w:val="00CA2A9D"/>
    <w:rsid w:val="00CA3353"/>
    <w:rsid w:val="00CA47E8"/>
    <w:rsid w:val="00CA4DB0"/>
    <w:rsid w:val="00CA58FB"/>
    <w:rsid w:val="00CB072D"/>
    <w:rsid w:val="00CB1E0C"/>
    <w:rsid w:val="00CB50A2"/>
    <w:rsid w:val="00CB533D"/>
    <w:rsid w:val="00CB5934"/>
    <w:rsid w:val="00CC1FE7"/>
    <w:rsid w:val="00CC444A"/>
    <w:rsid w:val="00CC48A0"/>
    <w:rsid w:val="00CC50F5"/>
    <w:rsid w:val="00CC63E2"/>
    <w:rsid w:val="00CD0107"/>
    <w:rsid w:val="00CD2F17"/>
    <w:rsid w:val="00CD3AA3"/>
    <w:rsid w:val="00CD57DF"/>
    <w:rsid w:val="00CD7E00"/>
    <w:rsid w:val="00CE1EBE"/>
    <w:rsid w:val="00CE3A1B"/>
    <w:rsid w:val="00CE4E6E"/>
    <w:rsid w:val="00CE57D9"/>
    <w:rsid w:val="00CE73E7"/>
    <w:rsid w:val="00CE76EE"/>
    <w:rsid w:val="00CF2704"/>
    <w:rsid w:val="00CF39EA"/>
    <w:rsid w:val="00CF4250"/>
    <w:rsid w:val="00CF4ECD"/>
    <w:rsid w:val="00CF5807"/>
    <w:rsid w:val="00CF681B"/>
    <w:rsid w:val="00CF7223"/>
    <w:rsid w:val="00D0062A"/>
    <w:rsid w:val="00D00DF1"/>
    <w:rsid w:val="00D0343C"/>
    <w:rsid w:val="00D03C82"/>
    <w:rsid w:val="00D05761"/>
    <w:rsid w:val="00D06818"/>
    <w:rsid w:val="00D1031D"/>
    <w:rsid w:val="00D10D82"/>
    <w:rsid w:val="00D11343"/>
    <w:rsid w:val="00D153C6"/>
    <w:rsid w:val="00D15C11"/>
    <w:rsid w:val="00D1659A"/>
    <w:rsid w:val="00D16BCE"/>
    <w:rsid w:val="00D17A26"/>
    <w:rsid w:val="00D20F7A"/>
    <w:rsid w:val="00D2137B"/>
    <w:rsid w:val="00D2328A"/>
    <w:rsid w:val="00D2420F"/>
    <w:rsid w:val="00D243AE"/>
    <w:rsid w:val="00D26A48"/>
    <w:rsid w:val="00D2741C"/>
    <w:rsid w:val="00D30B06"/>
    <w:rsid w:val="00D3652F"/>
    <w:rsid w:val="00D423DD"/>
    <w:rsid w:val="00D438B6"/>
    <w:rsid w:val="00D4470B"/>
    <w:rsid w:val="00D4549D"/>
    <w:rsid w:val="00D46EFB"/>
    <w:rsid w:val="00D46F33"/>
    <w:rsid w:val="00D47DE5"/>
    <w:rsid w:val="00D50441"/>
    <w:rsid w:val="00D51DBB"/>
    <w:rsid w:val="00D5421F"/>
    <w:rsid w:val="00D54FA8"/>
    <w:rsid w:val="00D551B8"/>
    <w:rsid w:val="00D564E5"/>
    <w:rsid w:val="00D566B4"/>
    <w:rsid w:val="00D616D9"/>
    <w:rsid w:val="00D64B22"/>
    <w:rsid w:val="00D6732D"/>
    <w:rsid w:val="00D70DF0"/>
    <w:rsid w:val="00D8145F"/>
    <w:rsid w:val="00D8199D"/>
    <w:rsid w:val="00D82E5A"/>
    <w:rsid w:val="00D84EB8"/>
    <w:rsid w:val="00D861F4"/>
    <w:rsid w:val="00D86AA3"/>
    <w:rsid w:val="00D904E0"/>
    <w:rsid w:val="00D90CEC"/>
    <w:rsid w:val="00D93A89"/>
    <w:rsid w:val="00D9416F"/>
    <w:rsid w:val="00D942E6"/>
    <w:rsid w:val="00DA2BA9"/>
    <w:rsid w:val="00DA305A"/>
    <w:rsid w:val="00DA41FA"/>
    <w:rsid w:val="00DA538F"/>
    <w:rsid w:val="00DA643E"/>
    <w:rsid w:val="00DA7000"/>
    <w:rsid w:val="00DB0B16"/>
    <w:rsid w:val="00DB122F"/>
    <w:rsid w:val="00DB2A79"/>
    <w:rsid w:val="00DB32C1"/>
    <w:rsid w:val="00DB4415"/>
    <w:rsid w:val="00DB5DC8"/>
    <w:rsid w:val="00DC1F36"/>
    <w:rsid w:val="00DC3BC4"/>
    <w:rsid w:val="00DC5A20"/>
    <w:rsid w:val="00DD02D6"/>
    <w:rsid w:val="00DD06E2"/>
    <w:rsid w:val="00DD12D0"/>
    <w:rsid w:val="00DD14C8"/>
    <w:rsid w:val="00DD21DA"/>
    <w:rsid w:val="00DD4639"/>
    <w:rsid w:val="00DD51AE"/>
    <w:rsid w:val="00DD55C4"/>
    <w:rsid w:val="00DD5891"/>
    <w:rsid w:val="00DE1C15"/>
    <w:rsid w:val="00DE3933"/>
    <w:rsid w:val="00DE57C9"/>
    <w:rsid w:val="00DE5979"/>
    <w:rsid w:val="00DE5A28"/>
    <w:rsid w:val="00DE621B"/>
    <w:rsid w:val="00DF0802"/>
    <w:rsid w:val="00DF11B6"/>
    <w:rsid w:val="00DF1245"/>
    <w:rsid w:val="00DF1C76"/>
    <w:rsid w:val="00DF4E17"/>
    <w:rsid w:val="00DF6200"/>
    <w:rsid w:val="00DF6338"/>
    <w:rsid w:val="00DF6972"/>
    <w:rsid w:val="00DF72E7"/>
    <w:rsid w:val="00E00084"/>
    <w:rsid w:val="00E00104"/>
    <w:rsid w:val="00E00844"/>
    <w:rsid w:val="00E00A53"/>
    <w:rsid w:val="00E01871"/>
    <w:rsid w:val="00E03BCB"/>
    <w:rsid w:val="00E05E17"/>
    <w:rsid w:val="00E06C07"/>
    <w:rsid w:val="00E07500"/>
    <w:rsid w:val="00E108E3"/>
    <w:rsid w:val="00E1109F"/>
    <w:rsid w:val="00E1135F"/>
    <w:rsid w:val="00E13E91"/>
    <w:rsid w:val="00E157D4"/>
    <w:rsid w:val="00E15F5E"/>
    <w:rsid w:val="00E20890"/>
    <w:rsid w:val="00E20B84"/>
    <w:rsid w:val="00E226D4"/>
    <w:rsid w:val="00E25241"/>
    <w:rsid w:val="00E273F7"/>
    <w:rsid w:val="00E30B17"/>
    <w:rsid w:val="00E30C77"/>
    <w:rsid w:val="00E3510A"/>
    <w:rsid w:val="00E35817"/>
    <w:rsid w:val="00E365E5"/>
    <w:rsid w:val="00E406DE"/>
    <w:rsid w:val="00E40CE5"/>
    <w:rsid w:val="00E425DC"/>
    <w:rsid w:val="00E427EF"/>
    <w:rsid w:val="00E43ECB"/>
    <w:rsid w:val="00E44B49"/>
    <w:rsid w:val="00E45FB1"/>
    <w:rsid w:val="00E468A8"/>
    <w:rsid w:val="00E478D1"/>
    <w:rsid w:val="00E47C91"/>
    <w:rsid w:val="00E507D9"/>
    <w:rsid w:val="00E513B2"/>
    <w:rsid w:val="00E52F4D"/>
    <w:rsid w:val="00E53C0F"/>
    <w:rsid w:val="00E54E59"/>
    <w:rsid w:val="00E56C3A"/>
    <w:rsid w:val="00E612FC"/>
    <w:rsid w:val="00E62AA1"/>
    <w:rsid w:val="00E63827"/>
    <w:rsid w:val="00E64AE6"/>
    <w:rsid w:val="00E66D4A"/>
    <w:rsid w:val="00E67A38"/>
    <w:rsid w:val="00E715DC"/>
    <w:rsid w:val="00E71F9C"/>
    <w:rsid w:val="00E71FC9"/>
    <w:rsid w:val="00E757CC"/>
    <w:rsid w:val="00E7629A"/>
    <w:rsid w:val="00E77119"/>
    <w:rsid w:val="00E800A5"/>
    <w:rsid w:val="00E92FF4"/>
    <w:rsid w:val="00E93D85"/>
    <w:rsid w:val="00E96211"/>
    <w:rsid w:val="00EA030C"/>
    <w:rsid w:val="00EA330A"/>
    <w:rsid w:val="00EA45A4"/>
    <w:rsid w:val="00EA5AD4"/>
    <w:rsid w:val="00EA7C10"/>
    <w:rsid w:val="00EB3172"/>
    <w:rsid w:val="00EB3C0C"/>
    <w:rsid w:val="00EB4781"/>
    <w:rsid w:val="00EB6CE5"/>
    <w:rsid w:val="00EB7878"/>
    <w:rsid w:val="00EC073E"/>
    <w:rsid w:val="00EC0A7C"/>
    <w:rsid w:val="00EC37FE"/>
    <w:rsid w:val="00EC3D08"/>
    <w:rsid w:val="00EC46EF"/>
    <w:rsid w:val="00EC4DD5"/>
    <w:rsid w:val="00EC5409"/>
    <w:rsid w:val="00EC7AD3"/>
    <w:rsid w:val="00ED0483"/>
    <w:rsid w:val="00ED1D90"/>
    <w:rsid w:val="00ED38C0"/>
    <w:rsid w:val="00ED4236"/>
    <w:rsid w:val="00ED49F4"/>
    <w:rsid w:val="00EE1137"/>
    <w:rsid w:val="00EE14EA"/>
    <w:rsid w:val="00EE27C9"/>
    <w:rsid w:val="00EF0068"/>
    <w:rsid w:val="00EF1386"/>
    <w:rsid w:val="00EF2165"/>
    <w:rsid w:val="00EF219A"/>
    <w:rsid w:val="00EF2535"/>
    <w:rsid w:val="00EF4A06"/>
    <w:rsid w:val="00EF4D99"/>
    <w:rsid w:val="00EF5011"/>
    <w:rsid w:val="00EF7C50"/>
    <w:rsid w:val="00F00543"/>
    <w:rsid w:val="00F00828"/>
    <w:rsid w:val="00F00896"/>
    <w:rsid w:val="00F05647"/>
    <w:rsid w:val="00F06CE8"/>
    <w:rsid w:val="00F06F2F"/>
    <w:rsid w:val="00F074B8"/>
    <w:rsid w:val="00F078A2"/>
    <w:rsid w:val="00F116DF"/>
    <w:rsid w:val="00F13266"/>
    <w:rsid w:val="00F13ED2"/>
    <w:rsid w:val="00F150FD"/>
    <w:rsid w:val="00F151BB"/>
    <w:rsid w:val="00F15389"/>
    <w:rsid w:val="00F15A1C"/>
    <w:rsid w:val="00F17747"/>
    <w:rsid w:val="00F214AA"/>
    <w:rsid w:val="00F2372A"/>
    <w:rsid w:val="00F26371"/>
    <w:rsid w:val="00F27C7A"/>
    <w:rsid w:val="00F30B67"/>
    <w:rsid w:val="00F32A8A"/>
    <w:rsid w:val="00F34EA5"/>
    <w:rsid w:val="00F3534C"/>
    <w:rsid w:val="00F37621"/>
    <w:rsid w:val="00F37F30"/>
    <w:rsid w:val="00F40A76"/>
    <w:rsid w:val="00F4510A"/>
    <w:rsid w:val="00F4652E"/>
    <w:rsid w:val="00F46544"/>
    <w:rsid w:val="00F4668A"/>
    <w:rsid w:val="00F47C4A"/>
    <w:rsid w:val="00F504C7"/>
    <w:rsid w:val="00F5091B"/>
    <w:rsid w:val="00F5111F"/>
    <w:rsid w:val="00F52B56"/>
    <w:rsid w:val="00F53596"/>
    <w:rsid w:val="00F53E94"/>
    <w:rsid w:val="00F56F3C"/>
    <w:rsid w:val="00F60D08"/>
    <w:rsid w:val="00F71EF3"/>
    <w:rsid w:val="00F72033"/>
    <w:rsid w:val="00F7547D"/>
    <w:rsid w:val="00F809F1"/>
    <w:rsid w:val="00F8256B"/>
    <w:rsid w:val="00F828EA"/>
    <w:rsid w:val="00F833AF"/>
    <w:rsid w:val="00F83419"/>
    <w:rsid w:val="00F84072"/>
    <w:rsid w:val="00F85276"/>
    <w:rsid w:val="00F87382"/>
    <w:rsid w:val="00F9024E"/>
    <w:rsid w:val="00F90A99"/>
    <w:rsid w:val="00F9258B"/>
    <w:rsid w:val="00F939CD"/>
    <w:rsid w:val="00F95B5F"/>
    <w:rsid w:val="00F96160"/>
    <w:rsid w:val="00F968EE"/>
    <w:rsid w:val="00F96A88"/>
    <w:rsid w:val="00F96EAF"/>
    <w:rsid w:val="00FA05F2"/>
    <w:rsid w:val="00FA1DBE"/>
    <w:rsid w:val="00FA2992"/>
    <w:rsid w:val="00FA6AD6"/>
    <w:rsid w:val="00FA70AC"/>
    <w:rsid w:val="00FB07BD"/>
    <w:rsid w:val="00FB31EC"/>
    <w:rsid w:val="00FB3DEC"/>
    <w:rsid w:val="00FB48B8"/>
    <w:rsid w:val="00FB59C9"/>
    <w:rsid w:val="00FB607D"/>
    <w:rsid w:val="00FB6537"/>
    <w:rsid w:val="00FB68B7"/>
    <w:rsid w:val="00FB6E92"/>
    <w:rsid w:val="00FC0430"/>
    <w:rsid w:val="00FC2185"/>
    <w:rsid w:val="00FD1E38"/>
    <w:rsid w:val="00FD223C"/>
    <w:rsid w:val="00FD41BF"/>
    <w:rsid w:val="00FD44D6"/>
    <w:rsid w:val="00FE1BB1"/>
    <w:rsid w:val="00FE3981"/>
    <w:rsid w:val="00FE55DD"/>
    <w:rsid w:val="00FE5F5C"/>
    <w:rsid w:val="00FE63AE"/>
    <w:rsid w:val="00FE69D6"/>
    <w:rsid w:val="00FE6AA3"/>
    <w:rsid w:val="00FE6F0D"/>
    <w:rsid w:val="00FE795E"/>
    <w:rsid w:val="00FF067A"/>
    <w:rsid w:val="00FF14CF"/>
    <w:rsid w:val="00FF2818"/>
    <w:rsid w:val="00FF3674"/>
    <w:rsid w:val="00FF36A6"/>
    <w:rsid w:val="00FF4225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5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A12A5A"/>
    <w:rPr>
      <w:rFonts w:cs="Times New Roman"/>
    </w:rPr>
  </w:style>
  <w:style w:type="paragraph" w:styleId="HTML">
    <w:name w:val="HTML Preformatted"/>
    <w:aliases w:val="Стандартный HTML Знак1,Стандартный HTML Знак Знак,Знак1 Знак Знак,Знак1 Знак"/>
    <w:basedOn w:val="a"/>
    <w:link w:val="HTML0"/>
    <w:uiPriority w:val="99"/>
    <w:rsid w:val="00A1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1"/>
      <w:szCs w:val="21"/>
      <w:lang w:eastAsia="ru-RU"/>
    </w:rPr>
  </w:style>
  <w:style w:type="paragraph" w:styleId="a3">
    <w:name w:val="header"/>
    <w:basedOn w:val="a"/>
    <w:link w:val="a4"/>
    <w:uiPriority w:val="99"/>
    <w:unhideWhenUsed/>
    <w:rsid w:val="005B6B1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customStyle="1" w:styleId="1">
    <w:name w:val="Знак Знак Знак Знак1 Знак Знак Знак Знак Знак Знак Знак Знак Знак Знак Знак Знак Знак Знак Знак"/>
    <w:basedOn w:val="a"/>
    <w:rsid w:val="00A12A5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5">
    <w:name w:val="Normal (Web)"/>
    <w:aliases w:val="Обычный (веб) Знак,Знак1 Знак Знак Знак Знак Знак Знак Знак,Знак1,Знак,Обычный (веб) Знак2,Обычный (веб) Знак1 Знак,Обычный (веб) Знак Знак Знак,Знак1 Знак1 Знак Знак Знак Знак"/>
    <w:basedOn w:val="a"/>
    <w:uiPriority w:val="99"/>
    <w:rsid w:val="00A12A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fmc1">
    <w:name w:val="xfmc1"/>
    <w:basedOn w:val="a"/>
    <w:rsid w:val="00A12A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0">
    <w:name w:val="rvts0"/>
    <w:rsid w:val="00A12A5A"/>
  </w:style>
  <w:style w:type="paragraph" w:customStyle="1" w:styleId="Normal1">
    <w:name w:val="Normal1"/>
    <w:uiPriority w:val="99"/>
    <w:rsid w:val="00A12A5A"/>
    <w:rPr>
      <w:rFonts w:ascii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A12A5A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A12A5A"/>
    <w:pPr>
      <w:spacing w:after="0" w:line="240" w:lineRule="auto"/>
      <w:jc w:val="both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A12A5A"/>
    <w:rPr>
      <w:rFonts w:ascii="Times New Roman" w:hAnsi="Times New Roman" w:cs="Times New Roman"/>
      <w:sz w:val="28"/>
      <w:lang w:val="uk-UA" w:eastAsia="ru-RU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1 Знак Знак Знак1,Знак1 Знак Знак2"/>
    <w:link w:val="HTML"/>
    <w:uiPriority w:val="99"/>
    <w:locked/>
    <w:rsid w:val="00A12A5A"/>
    <w:rPr>
      <w:rFonts w:ascii="Courier New" w:hAnsi="Courier New"/>
      <w:color w:val="000000"/>
      <w:sz w:val="21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A12A5A"/>
    <w:rPr>
      <w:rFonts w:ascii="Times New Roman" w:hAnsi="Times New Roman" w:cs="Times New Roman"/>
      <w:b/>
      <w:sz w:val="28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5B6B1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B6B16"/>
    <w:rPr>
      <w:rFonts w:ascii="Calibri" w:hAnsi="Calibri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1B19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5B6B16"/>
    <w:rPr>
      <w:rFonts w:ascii="Calibri" w:hAnsi="Calibri" w:cs="Times New Roman"/>
      <w:lang w:val="uk-UA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1 Знак Знак Знак,Стандартный HTML Знак Знак1,Знак1 Знак Знак1,Обычный (веб) Знак1,Обычный (веб) Знак Знак,Знак1 Знак Знак Знак Знак Знак Знак Знак Знак,Знак1 Знак1"/>
    <w:uiPriority w:val="99"/>
    <w:rsid w:val="006933CE"/>
    <w:rPr>
      <w:rFonts w:ascii="Courier New" w:hAnsi="Courier New"/>
      <w:color w:val="000000"/>
      <w:sz w:val="15"/>
      <w:lang w:val="ru-RU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B1939"/>
    <w:rPr>
      <w:rFonts w:ascii="Tahoma" w:hAnsi="Tahoma" w:cs="Times New Roman"/>
      <w:sz w:val="16"/>
      <w:lang w:val="uk-UA"/>
    </w:rPr>
  </w:style>
  <w:style w:type="paragraph" w:styleId="ac">
    <w:name w:val="List Paragraph"/>
    <w:aliases w:val="List Paragraph1,lp1,List Paragraph11,IN2 List Paragraph"/>
    <w:basedOn w:val="a"/>
    <w:link w:val="ad"/>
    <w:uiPriority w:val="34"/>
    <w:qFormat/>
    <w:rsid w:val="002A281C"/>
    <w:pPr>
      <w:ind w:left="720"/>
      <w:contextualSpacing/>
    </w:pPr>
  </w:style>
  <w:style w:type="paragraph" w:customStyle="1" w:styleId="10">
    <w:name w:val="Обычный1"/>
    <w:rsid w:val="00BC7B0D"/>
    <w:rPr>
      <w:rFonts w:ascii="Times New Roman" w:hAnsi="Times New Roman" w:cs="Times New Roman"/>
      <w:sz w:val="28"/>
      <w:lang w:eastAsia="ru-RU"/>
    </w:rPr>
  </w:style>
  <w:style w:type="character" w:styleId="ae">
    <w:name w:val="Hyperlink"/>
    <w:basedOn w:val="a0"/>
    <w:uiPriority w:val="99"/>
    <w:unhideWhenUsed/>
    <w:rsid w:val="0011116F"/>
    <w:rPr>
      <w:rFonts w:cs="Times New Roman"/>
      <w:color w:val="0000FF"/>
      <w:u w:val="single"/>
    </w:rPr>
  </w:style>
  <w:style w:type="table" w:styleId="af">
    <w:name w:val="Table Grid"/>
    <w:basedOn w:val="a1"/>
    <w:uiPriority w:val="39"/>
    <w:rsid w:val="00964B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446B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5">
    <w:name w:val="rvts15"/>
    <w:rsid w:val="00BA42D1"/>
  </w:style>
  <w:style w:type="paragraph" w:customStyle="1" w:styleId="rvps12">
    <w:name w:val="rvps12"/>
    <w:basedOn w:val="a"/>
    <w:rsid w:val="00BA42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f0">
    <w:name w:val="Strong"/>
    <w:basedOn w:val="a0"/>
    <w:uiPriority w:val="22"/>
    <w:qFormat/>
    <w:rsid w:val="00C255E0"/>
    <w:rPr>
      <w:rFonts w:cs="Times New Roman"/>
      <w:b/>
    </w:rPr>
  </w:style>
  <w:style w:type="character" w:styleId="af1">
    <w:name w:val="footnote reference"/>
    <w:basedOn w:val="a0"/>
    <w:uiPriority w:val="99"/>
    <w:rsid w:val="00E427EF"/>
    <w:rPr>
      <w:rFonts w:cs="Times New Roman"/>
      <w:vertAlign w:val="superscript"/>
    </w:rPr>
  </w:style>
  <w:style w:type="paragraph" w:styleId="af2">
    <w:name w:val="footnote text"/>
    <w:basedOn w:val="a"/>
    <w:link w:val="af3"/>
    <w:uiPriority w:val="99"/>
    <w:rsid w:val="00E427EF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21">
    <w:name w:val="Основной текст (2)_"/>
    <w:link w:val="210"/>
    <w:locked/>
    <w:rsid w:val="002571A3"/>
    <w:rPr>
      <w:spacing w:val="-10"/>
      <w:shd w:val="clear" w:color="auto" w:fill="FFFFFF"/>
    </w:rPr>
  </w:style>
  <w:style w:type="character" w:customStyle="1" w:styleId="af3">
    <w:name w:val="Текст сноски Знак"/>
    <w:basedOn w:val="a0"/>
    <w:link w:val="af2"/>
    <w:uiPriority w:val="99"/>
    <w:locked/>
    <w:rsid w:val="00E427EF"/>
    <w:rPr>
      <w:rFonts w:ascii="Times New Roman" w:hAnsi="Times New Roman" w:cs="Times New Roman"/>
      <w:lang w:val="ru-RU" w:eastAsia="ru-RU"/>
    </w:rPr>
  </w:style>
  <w:style w:type="paragraph" w:customStyle="1" w:styleId="210">
    <w:name w:val="Основной текст (2)1"/>
    <w:basedOn w:val="a"/>
    <w:link w:val="21"/>
    <w:rsid w:val="002571A3"/>
    <w:pPr>
      <w:widowControl w:val="0"/>
      <w:shd w:val="clear" w:color="auto" w:fill="FFFFFF"/>
      <w:spacing w:after="240" w:line="293" w:lineRule="exact"/>
      <w:jc w:val="center"/>
    </w:pPr>
    <w:rPr>
      <w:spacing w:val="-10"/>
      <w:sz w:val="20"/>
      <w:szCs w:val="20"/>
    </w:rPr>
  </w:style>
  <w:style w:type="paragraph" w:customStyle="1" w:styleId="Textbody">
    <w:name w:val="Text body"/>
    <w:basedOn w:val="a"/>
    <w:rsid w:val="00555A5B"/>
    <w:pPr>
      <w:suppressAutoHyphens/>
      <w:autoSpaceDN w:val="0"/>
      <w:spacing w:after="140" w:line="288" w:lineRule="auto"/>
      <w:textAlignment w:val="baseline"/>
    </w:pPr>
    <w:rPr>
      <w:rFonts w:ascii="Arial" w:hAnsi="Arial" w:cs="Arial"/>
      <w:color w:val="000000"/>
      <w:kern w:val="3"/>
      <w:lang w:val="en-US" w:eastAsia="zh-CN" w:bidi="hi-IN"/>
    </w:rPr>
  </w:style>
  <w:style w:type="paragraph" w:customStyle="1" w:styleId="Default">
    <w:name w:val="Default"/>
    <w:rsid w:val="00CC444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DB5DC8"/>
    <w:rPr>
      <w:i/>
      <w:iCs/>
    </w:rPr>
  </w:style>
  <w:style w:type="paragraph" w:customStyle="1" w:styleId="FR1">
    <w:name w:val="FR1"/>
    <w:rsid w:val="006210C7"/>
    <w:pPr>
      <w:widowControl w:val="0"/>
      <w:spacing w:before="800" w:line="340" w:lineRule="auto"/>
      <w:ind w:right="5600"/>
    </w:pPr>
    <w:rPr>
      <w:rFonts w:ascii="Times New Roman" w:hAnsi="Times New Roman" w:cs="Times New Roman"/>
      <w:lang w:eastAsia="ru-RU"/>
    </w:rPr>
  </w:style>
  <w:style w:type="character" w:customStyle="1" w:styleId="rvts9">
    <w:name w:val="rvts9"/>
    <w:basedOn w:val="a0"/>
    <w:rsid w:val="00D46F33"/>
    <w:rPr>
      <w:rFonts w:cs="Times New Roman"/>
    </w:rPr>
  </w:style>
  <w:style w:type="paragraph" w:customStyle="1" w:styleId="Style21">
    <w:name w:val="Style21"/>
    <w:basedOn w:val="a"/>
    <w:uiPriority w:val="99"/>
    <w:rsid w:val="00773963"/>
    <w:pPr>
      <w:widowControl w:val="0"/>
      <w:autoSpaceDE w:val="0"/>
      <w:autoSpaceDN w:val="0"/>
      <w:adjustRightInd w:val="0"/>
      <w:spacing w:after="0" w:line="324" w:lineRule="exact"/>
      <w:ind w:firstLine="696"/>
    </w:pPr>
    <w:rPr>
      <w:rFonts w:ascii="Times New Roman" w:hAnsi="Times New Roman"/>
      <w:sz w:val="24"/>
      <w:szCs w:val="24"/>
      <w:lang w:eastAsia="uk-UA"/>
    </w:rPr>
  </w:style>
  <w:style w:type="paragraph" w:customStyle="1" w:styleId="22">
    <w:name w:val="Основной текст (2)"/>
    <w:basedOn w:val="a"/>
    <w:rsid w:val="003748FD"/>
    <w:pPr>
      <w:widowControl w:val="0"/>
      <w:spacing w:after="0" w:line="240" w:lineRule="auto"/>
      <w:ind w:firstLine="600"/>
    </w:pPr>
    <w:rPr>
      <w:rFonts w:ascii="Times New Roman" w:hAnsi="Times New Roman"/>
      <w:lang w:val="ru-RU"/>
    </w:rPr>
  </w:style>
  <w:style w:type="character" w:customStyle="1" w:styleId="ad">
    <w:name w:val="Абзац списка Знак"/>
    <w:aliases w:val="List Paragraph1 Знак,lp1 Знак,List Paragraph11 Знак,IN2 List Paragraph Знак"/>
    <w:link w:val="ac"/>
    <w:uiPriority w:val="34"/>
    <w:locked/>
    <w:rsid w:val="00BA5B63"/>
    <w:rPr>
      <w:rFonts w:cs="Times New Roman"/>
      <w:sz w:val="22"/>
      <w:szCs w:val="22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FA299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A2992"/>
    <w:rPr>
      <w:rFonts w:cs="Times New Roman"/>
      <w:sz w:val="22"/>
      <w:szCs w:val="22"/>
      <w:lang w:eastAsia="en-US"/>
    </w:rPr>
  </w:style>
  <w:style w:type="character" w:customStyle="1" w:styleId="docdata">
    <w:name w:val="docdata"/>
    <w:aliases w:val="docy,v5,2032,baiaagaaboqcaaad5guaaax0bqaaaaaaaaaaaaaaaaaaaaaaaaaaaaaaaaaaaaaaaaaaaaaaaaaaaaaaaaaaaaaaaaaaaaaaaaaaaaaaaaaaaaaaaaaaaaaaaaaaaaaaaaaaaaaaaaaaaaaaaaaaaaaaaaaaaaaaaaaaaaaaaaaaaaaaaaaaaaaaaaaaaaaaaaaaaaaaaaaaaaaaaaaaaaaaaaaaaaaaaaaaaaaa"/>
    <w:basedOn w:val="a0"/>
    <w:rsid w:val="00D16BCE"/>
  </w:style>
  <w:style w:type="paragraph" w:customStyle="1" w:styleId="rvps6">
    <w:name w:val="rvps6"/>
    <w:basedOn w:val="a"/>
    <w:rsid w:val="00B266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en-GB"/>
    </w:rPr>
  </w:style>
  <w:style w:type="paragraph" w:customStyle="1" w:styleId="paragraph">
    <w:name w:val="paragraph"/>
    <w:basedOn w:val="a"/>
    <w:rsid w:val="002943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D39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3912"/>
    <w:rPr>
      <w:rFonts w:cs="Times New Roman"/>
      <w:sz w:val="16"/>
      <w:szCs w:val="16"/>
      <w:lang w:eastAsia="en-US"/>
    </w:rPr>
  </w:style>
  <w:style w:type="paragraph" w:customStyle="1" w:styleId="211">
    <w:name w:val="Основной текст 21"/>
    <w:basedOn w:val="a"/>
    <w:rsid w:val="00BD3912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color w:val="000000"/>
      <w:sz w:val="28"/>
      <w:szCs w:val="20"/>
      <w:lang w:eastAsia="ru-RU"/>
    </w:rPr>
  </w:style>
  <w:style w:type="paragraph" w:customStyle="1" w:styleId="31">
    <w:name w:val="Стиль3"/>
    <w:basedOn w:val="a"/>
    <w:uiPriority w:val="99"/>
    <w:rsid w:val="008D1E90"/>
    <w:pPr>
      <w:widowControl w:val="0"/>
      <w:tabs>
        <w:tab w:val="left" w:pos="426"/>
      </w:tabs>
      <w:autoSpaceDE w:val="0"/>
      <w:autoSpaceDN w:val="0"/>
      <w:adjustRightInd w:val="0"/>
      <w:spacing w:after="0" w:line="240" w:lineRule="auto"/>
      <w:ind w:left="426" w:right="10" w:hanging="284"/>
      <w:jc w:val="both"/>
    </w:pPr>
    <w:rPr>
      <w:rFonts w:ascii="Times New Roman" w:hAnsi="Times New Roman"/>
      <w:sz w:val="19"/>
      <w:szCs w:val="19"/>
      <w:lang w:val="ru-RU" w:eastAsia="en-GB"/>
    </w:rPr>
  </w:style>
  <w:style w:type="paragraph" w:styleId="af5">
    <w:name w:val="No Spacing"/>
    <w:uiPriority w:val="1"/>
    <w:qFormat/>
    <w:rsid w:val="00155A73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5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A12A5A"/>
    <w:rPr>
      <w:rFonts w:cs="Times New Roman"/>
    </w:rPr>
  </w:style>
  <w:style w:type="paragraph" w:styleId="HTML">
    <w:name w:val="HTML Preformatted"/>
    <w:aliases w:val="Стандартный HTML Знак1,Стандартный HTML Знак Знак,Знак1 Знак Знак,Знак1 Знак"/>
    <w:basedOn w:val="a"/>
    <w:link w:val="HTML0"/>
    <w:uiPriority w:val="99"/>
    <w:rsid w:val="00A1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1"/>
      <w:szCs w:val="21"/>
      <w:lang w:eastAsia="ru-RU"/>
    </w:rPr>
  </w:style>
  <w:style w:type="paragraph" w:styleId="a3">
    <w:name w:val="header"/>
    <w:basedOn w:val="a"/>
    <w:link w:val="a4"/>
    <w:uiPriority w:val="99"/>
    <w:unhideWhenUsed/>
    <w:rsid w:val="005B6B1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customStyle="1" w:styleId="1">
    <w:name w:val="Знак Знак Знак Знак1 Знак Знак Знак Знак Знак Знак Знак Знак Знак Знак Знак Знак Знак Знак Знак"/>
    <w:basedOn w:val="a"/>
    <w:rsid w:val="00A12A5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5">
    <w:name w:val="Normal (Web)"/>
    <w:aliases w:val="Обычный (веб) Знак,Знак1 Знак Знак Знак Знак Знак Знак Знак,Знак1,Знак,Обычный (веб) Знак2,Обычный (веб) Знак1 Знак,Обычный (веб) Знак Знак Знак,Знак1 Знак1 Знак Знак Знак Знак"/>
    <w:basedOn w:val="a"/>
    <w:uiPriority w:val="99"/>
    <w:rsid w:val="00A12A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fmc1">
    <w:name w:val="xfmc1"/>
    <w:basedOn w:val="a"/>
    <w:rsid w:val="00A12A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0">
    <w:name w:val="rvts0"/>
    <w:rsid w:val="00A12A5A"/>
  </w:style>
  <w:style w:type="paragraph" w:customStyle="1" w:styleId="Normal1">
    <w:name w:val="Normal1"/>
    <w:uiPriority w:val="99"/>
    <w:rsid w:val="00A12A5A"/>
    <w:rPr>
      <w:rFonts w:ascii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A12A5A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A12A5A"/>
    <w:pPr>
      <w:spacing w:after="0" w:line="240" w:lineRule="auto"/>
      <w:jc w:val="both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A12A5A"/>
    <w:rPr>
      <w:rFonts w:ascii="Times New Roman" w:hAnsi="Times New Roman" w:cs="Times New Roman"/>
      <w:sz w:val="28"/>
      <w:lang w:val="uk-UA" w:eastAsia="ru-RU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1 Знак Знак Знак1,Знак1 Знак Знак2"/>
    <w:link w:val="HTML"/>
    <w:uiPriority w:val="99"/>
    <w:locked/>
    <w:rsid w:val="00A12A5A"/>
    <w:rPr>
      <w:rFonts w:ascii="Courier New" w:hAnsi="Courier New"/>
      <w:color w:val="000000"/>
      <w:sz w:val="21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A12A5A"/>
    <w:rPr>
      <w:rFonts w:ascii="Times New Roman" w:hAnsi="Times New Roman" w:cs="Times New Roman"/>
      <w:b/>
      <w:sz w:val="28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5B6B1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B6B16"/>
    <w:rPr>
      <w:rFonts w:ascii="Calibri" w:hAnsi="Calibri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1B19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5B6B16"/>
    <w:rPr>
      <w:rFonts w:ascii="Calibri" w:hAnsi="Calibri" w:cs="Times New Roman"/>
      <w:lang w:val="uk-UA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1 Знак Знак Знак,Стандартный HTML Знак Знак1,Знак1 Знак Знак1,Обычный (веб) Знак1,Обычный (веб) Знак Знак,Знак1 Знак Знак Знак Знак Знак Знак Знак Знак,Знак1 Знак1"/>
    <w:uiPriority w:val="99"/>
    <w:rsid w:val="006933CE"/>
    <w:rPr>
      <w:rFonts w:ascii="Courier New" w:hAnsi="Courier New"/>
      <w:color w:val="000000"/>
      <w:sz w:val="15"/>
      <w:lang w:val="ru-RU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B1939"/>
    <w:rPr>
      <w:rFonts w:ascii="Tahoma" w:hAnsi="Tahoma" w:cs="Times New Roman"/>
      <w:sz w:val="16"/>
      <w:lang w:val="uk-UA"/>
    </w:rPr>
  </w:style>
  <w:style w:type="paragraph" w:styleId="ac">
    <w:name w:val="List Paragraph"/>
    <w:aliases w:val="List Paragraph1,lp1,List Paragraph11,IN2 List Paragraph"/>
    <w:basedOn w:val="a"/>
    <w:link w:val="ad"/>
    <w:uiPriority w:val="34"/>
    <w:qFormat/>
    <w:rsid w:val="002A281C"/>
    <w:pPr>
      <w:ind w:left="720"/>
      <w:contextualSpacing/>
    </w:pPr>
  </w:style>
  <w:style w:type="paragraph" w:customStyle="1" w:styleId="10">
    <w:name w:val="Обычный1"/>
    <w:rsid w:val="00BC7B0D"/>
    <w:rPr>
      <w:rFonts w:ascii="Times New Roman" w:hAnsi="Times New Roman" w:cs="Times New Roman"/>
      <w:sz w:val="28"/>
      <w:lang w:eastAsia="ru-RU"/>
    </w:rPr>
  </w:style>
  <w:style w:type="character" w:styleId="ae">
    <w:name w:val="Hyperlink"/>
    <w:basedOn w:val="a0"/>
    <w:uiPriority w:val="99"/>
    <w:unhideWhenUsed/>
    <w:rsid w:val="0011116F"/>
    <w:rPr>
      <w:rFonts w:cs="Times New Roman"/>
      <w:color w:val="0000FF"/>
      <w:u w:val="single"/>
    </w:rPr>
  </w:style>
  <w:style w:type="table" w:styleId="af">
    <w:name w:val="Table Grid"/>
    <w:basedOn w:val="a1"/>
    <w:uiPriority w:val="39"/>
    <w:rsid w:val="00964B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446B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5">
    <w:name w:val="rvts15"/>
    <w:rsid w:val="00BA42D1"/>
  </w:style>
  <w:style w:type="paragraph" w:customStyle="1" w:styleId="rvps12">
    <w:name w:val="rvps12"/>
    <w:basedOn w:val="a"/>
    <w:rsid w:val="00BA42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f0">
    <w:name w:val="Strong"/>
    <w:basedOn w:val="a0"/>
    <w:uiPriority w:val="22"/>
    <w:qFormat/>
    <w:rsid w:val="00C255E0"/>
    <w:rPr>
      <w:rFonts w:cs="Times New Roman"/>
      <w:b/>
    </w:rPr>
  </w:style>
  <w:style w:type="character" w:styleId="af1">
    <w:name w:val="footnote reference"/>
    <w:basedOn w:val="a0"/>
    <w:uiPriority w:val="99"/>
    <w:rsid w:val="00E427EF"/>
    <w:rPr>
      <w:rFonts w:cs="Times New Roman"/>
      <w:vertAlign w:val="superscript"/>
    </w:rPr>
  </w:style>
  <w:style w:type="paragraph" w:styleId="af2">
    <w:name w:val="footnote text"/>
    <w:basedOn w:val="a"/>
    <w:link w:val="af3"/>
    <w:uiPriority w:val="99"/>
    <w:rsid w:val="00E427EF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21">
    <w:name w:val="Основной текст (2)_"/>
    <w:link w:val="210"/>
    <w:locked/>
    <w:rsid w:val="002571A3"/>
    <w:rPr>
      <w:spacing w:val="-10"/>
      <w:shd w:val="clear" w:color="auto" w:fill="FFFFFF"/>
    </w:rPr>
  </w:style>
  <w:style w:type="character" w:customStyle="1" w:styleId="af3">
    <w:name w:val="Текст сноски Знак"/>
    <w:basedOn w:val="a0"/>
    <w:link w:val="af2"/>
    <w:uiPriority w:val="99"/>
    <w:locked/>
    <w:rsid w:val="00E427EF"/>
    <w:rPr>
      <w:rFonts w:ascii="Times New Roman" w:hAnsi="Times New Roman" w:cs="Times New Roman"/>
      <w:lang w:val="ru-RU" w:eastAsia="ru-RU"/>
    </w:rPr>
  </w:style>
  <w:style w:type="paragraph" w:customStyle="1" w:styleId="210">
    <w:name w:val="Основной текст (2)1"/>
    <w:basedOn w:val="a"/>
    <w:link w:val="21"/>
    <w:rsid w:val="002571A3"/>
    <w:pPr>
      <w:widowControl w:val="0"/>
      <w:shd w:val="clear" w:color="auto" w:fill="FFFFFF"/>
      <w:spacing w:after="240" w:line="293" w:lineRule="exact"/>
      <w:jc w:val="center"/>
    </w:pPr>
    <w:rPr>
      <w:spacing w:val="-10"/>
      <w:sz w:val="20"/>
      <w:szCs w:val="20"/>
    </w:rPr>
  </w:style>
  <w:style w:type="paragraph" w:customStyle="1" w:styleId="Textbody">
    <w:name w:val="Text body"/>
    <w:basedOn w:val="a"/>
    <w:rsid w:val="00555A5B"/>
    <w:pPr>
      <w:suppressAutoHyphens/>
      <w:autoSpaceDN w:val="0"/>
      <w:spacing w:after="140" w:line="288" w:lineRule="auto"/>
      <w:textAlignment w:val="baseline"/>
    </w:pPr>
    <w:rPr>
      <w:rFonts w:ascii="Arial" w:hAnsi="Arial" w:cs="Arial"/>
      <w:color w:val="000000"/>
      <w:kern w:val="3"/>
      <w:lang w:val="en-US" w:eastAsia="zh-CN" w:bidi="hi-IN"/>
    </w:rPr>
  </w:style>
  <w:style w:type="paragraph" w:customStyle="1" w:styleId="Default">
    <w:name w:val="Default"/>
    <w:rsid w:val="00CC444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DB5DC8"/>
    <w:rPr>
      <w:i/>
      <w:iCs/>
    </w:rPr>
  </w:style>
  <w:style w:type="paragraph" w:customStyle="1" w:styleId="FR1">
    <w:name w:val="FR1"/>
    <w:rsid w:val="006210C7"/>
    <w:pPr>
      <w:widowControl w:val="0"/>
      <w:spacing w:before="800" w:line="340" w:lineRule="auto"/>
      <w:ind w:right="5600"/>
    </w:pPr>
    <w:rPr>
      <w:rFonts w:ascii="Times New Roman" w:hAnsi="Times New Roman" w:cs="Times New Roman"/>
      <w:lang w:eastAsia="ru-RU"/>
    </w:rPr>
  </w:style>
  <w:style w:type="character" w:customStyle="1" w:styleId="rvts9">
    <w:name w:val="rvts9"/>
    <w:basedOn w:val="a0"/>
    <w:rsid w:val="00D46F33"/>
    <w:rPr>
      <w:rFonts w:cs="Times New Roman"/>
    </w:rPr>
  </w:style>
  <w:style w:type="paragraph" w:customStyle="1" w:styleId="Style21">
    <w:name w:val="Style21"/>
    <w:basedOn w:val="a"/>
    <w:uiPriority w:val="99"/>
    <w:rsid w:val="00773963"/>
    <w:pPr>
      <w:widowControl w:val="0"/>
      <w:autoSpaceDE w:val="0"/>
      <w:autoSpaceDN w:val="0"/>
      <w:adjustRightInd w:val="0"/>
      <w:spacing w:after="0" w:line="324" w:lineRule="exact"/>
      <w:ind w:firstLine="696"/>
    </w:pPr>
    <w:rPr>
      <w:rFonts w:ascii="Times New Roman" w:hAnsi="Times New Roman"/>
      <w:sz w:val="24"/>
      <w:szCs w:val="24"/>
      <w:lang w:eastAsia="uk-UA"/>
    </w:rPr>
  </w:style>
  <w:style w:type="paragraph" w:customStyle="1" w:styleId="22">
    <w:name w:val="Основной текст (2)"/>
    <w:basedOn w:val="a"/>
    <w:rsid w:val="003748FD"/>
    <w:pPr>
      <w:widowControl w:val="0"/>
      <w:spacing w:after="0" w:line="240" w:lineRule="auto"/>
      <w:ind w:firstLine="600"/>
    </w:pPr>
    <w:rPr>
      <w:rFonts w:ascii="Times New Roman" w:hAnsi="Times New Roman"/>
      <w:lang w:val="ru-RU"/>
    </w:rPr>
  </w:style>
  <w:style w:type="character" w:customStyle="1" w:styleId="ad">
    <w:name w:val="Абзац списка Знак"/>
    <w:aliases w:val="List Paragraph1 Знак,lp1 Знак,List Paragraph11 Знак,IN2 List Paragraph Знак"/>
    <w:link w:val="ac"/>
    <w:uiPriority w:val="34"/>
    <w:locked/>
    <w:rsid w:val="00BA5B63"/>
    <w:rPr>
      <w:rFonts w:cs="Times New Roman"/>
      <w:sz w:val="22"/>
      <w:szCs w:val="22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FA299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A2992"/>
    <w:rPr>
      <w:rFonts w:cs="Times New Roman"/>
      <w:sz w:val="22"/>
      <w:szCs w:val="22"/>
      <w:lang w:eastAsia="en-US"/>
    </w:rPr>
  </w:style>
  <w:style w:type="character" w:customStyle="1" w:styleId="docdata">
    <w:name w:val="docdata"/>
    <w:aliases w:val="docy,v5,2032,baiaagaaboqcaaad5guaaax0bqaaaaaaaaaaaaaaaaaaaaaaaaaaaaaaaaaaaaaaaaaaaaaaaaaaaaaaaaaaaaaaaaaaaaaaaaaaaaaaaaaaaaaaaaaaaaaaaaaaaaaaaaaaaaaaaaaaaaaaaaaaaaaaaaaaaaaaaaaaaaaaaaaaaaaaaaaaaaaaaaaaaaaaaaaaaaaaaaaaaaaaaaaaaaaaaaaaaaaaaaaaaaaa"/>
    <w:basedOn w:val="a0"/>
    <w:rsid w:val="00D16BCE"/>
  </w:style>
  <w:style w:type="paragraph" w:customStyle="1" w:styleId="rvps6">
    <w:name w:val="rvps6"/>
    <w:basedOn w:val="a"/>
    <w:rsid w:val="00B266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en-GB"/>
    </w:rPr>
  </w:style>
  <w:style w:type="paragraph" w:customStyle="1" w:styleId="paragraph">
    <w:name w:val="paragraph"/>
    <w:basedOn w:val="a"/>
    <w:rsid w:val="002943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D39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3912"/>
    <w:rPr>
      <w:rFonts w:cs="Times New Roman"/>
      <w:sz w:val="16"/>
      <w:szCs w:val="16"/>
      <w:lang w:eastAsia="en-US"/>
    </w:rPr>
  </w:style>
  <w:style w:type="paragraph" w:customStyle="1" w:styleId="211">
    <w:name w:val="Основной текст 21"/>
    <w:basedOn w:val="a"/>
    <w:rsid w:val="00BD3912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color w:val="000000"/>
      <w:sz w:val="28"/>
      <w:szCs w:val="20"/>
      <w:lang w:eastAsia="ru-RU"/>
    </w:rPr>
  </w:style>
  <w:style w:type="paragraph" w:customStyle="1" w:styleId="31">
    <w:name w:val="Стиль3"/>
    <w:basedOn w:val="a"/>
    <w:uiPriority w:val="99"/>
    <w:rsid w:val="008D1E90"/>
    <w:pPr>
      <w:widowControl w:val="0"/>
      <w:tabs>
        <w:tab w:val="left" w:pos="426"/>
      </w:tabs>
      <w:autoSpaceDE w:val="0"/>
      <w:autoSpaceDN w:val="0"/>
      <w:adjustRightInd w:val="0"/>
      <w:spacing w:after="0" w:line="240" w:lineRule="auto"/>
      <w:ind w:left="426" w:right="10" w:hanging="284"/>
      <w:jc w:val="both"/>
    </w:pPr>
    <w:rPr>
      <w:rFonts w:ascii="Times New Roman" w:hAnsi="Times New Roman"/>
      <w:sz w:val="19"/>
      <w:szCs w:val="19"/>
      <w:lang w:val="ru-RU" w:eastAsia="en-GB"/>
    </w:rPr>
  </w:style>
  <w:style w:type="paragraph" w:styleId="af5">
    <w:name w:val="No Spacing"/>
    <w:uiPriority w:val="1"/>
    <w:qFormat/>
    <w:rsid w:val="00155A73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1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1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1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1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1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ukrstat.gov.ua/operativ/menu/menu_u/z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D55BD-05EF-4863-A88F-A0726C49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14</Pages>
  <Words>3293</Words>
  <Characters>23571</Characters>
  <Application>Microsoft Office Word</Application>
  <DocSecurity>0</DocSecurity>
  <Lines>196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АНАЛІЗ РЕГУЛЯТОРНОГО ВПЛИВУ</vt:lpstr>
    </vt:vector>
  </TitlesOfParts>
  <Company/>
  <LinksUpToDate>false</LinksUpToDate>
  <CharactersWithSpaces>26811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Ольга Володимирівна</cp:lastModifiedBy>
  <cp:revision>28</cp:revision>
  <cp:lastPrinted>2025-04-17T13:10:00Z</cp:lastPrinted>
  <dcterms:created xsi:type="dcterms:W3CDTF">2025-04-17T13:38:00Z</dcterms:created>
  <dcterms:modified xsi:type="dcterms:W3CDTF">2025-06-11T07:15:00Z</dcterms:modified>
</cp:coreProperties>
</file>