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D2D19" w14:textId="77777777"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5D67D812" w14:textId="77777777"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14:paraId="73D90905" w14:textId="77777777" w:rsidR="00450AE3" w:rsidRPr="00B07160" w:rsidRDefault="00450AE3" w:rsidP="00B07160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1A5498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14:paraId="7A47AB9C" w14:textId="77777777" w:rsidTr="001E72DB">
        <w:trPr>
          <w:trHeight w:val="580"/>
        </w:trPr>
        <w:tc>
          <w:tcPr>
            <w:tcW w:w="1934" w:type="dxa"/>
          </w:tcPr>
          <w:p w14:paraId="16EC8472" w14:textId="52F4B7B3" w:rsidR="00501C04" w:rsidRPr="00FB4E14" w:rsidRDefault="00B6692E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74EA7" w:rsidRPr="006608F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4EA7" w:rsidRPr="006608F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AA1BE2B" w14:textId="34C285C6" w:rsidR="00501C04" w:rsidRPr="00FB4E14" w:rsidRDefault="008D6FB1" w:rsidP="009763E6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6692E">
              <w:rPr>
                <w:rFonts w:ascii="Times New Roman" w:hAnsi="Times New Roman" w:cs="Times New Roman"/>
                <w:sz w:val="28"/>
                <w:szCs w:val="28"/>
              </w:rPr>
              <w:t>25484</w:t>
            </w:r>
            <w:r w:rsidR="00A74EA7" w:rsidRPr="00FB4E14">
              <w:rPr>
                <w:rFonts w:ascii="Times New Roman" w:hAnsi="Times New Roman" w:cs="Times New Roman"/>
                <w:sz w:val="28"/>
                <w:szCs w:val="28"/>
              </w:rPr>
              <w:t>/10/25</w:t>
            </w:r>
          </w:p>
        </w:tc>
        <w:tc>
          <w:tcPr>
            <w:tcW w:w="2456" w:type="dxa"/>
          </w:tcPr>
          <w:p w14:paraId="559D9DE3" w14:textId="3D703600" w:rsidR="003A5670" w:rsidRDefault="00D7240F" w:rsidP="008D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ТОВАРИСТВО </w:t>
            </w:r>
            <w:r w:rsidR="003A5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ВІДПОВІДАЛЬ-НІСТЮ З ІНОЗЕМНИМИ ІНВЕСТИЦІЯМИ «АТОЛЛ ПЕІНТ УКРАЇНА»</w:t>
            </w:r>
          </w:p>
          <w:p w14:paraId="7A09264C" w14:textId="30ACDECB" w:rsidR="00501C04" w:rsidRPr="00FB4E14" w:rsidRDefault="00135871" w:rsidP="008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FB4E14">
              <w:rPr>
                <w:rFonts w:ascii="Times New Roman" w:hAnsi="Times New Roman"/>
                <w:sz w:val="28"/>
                <w:szCs w:val="28"/>
              </w:rPr>
              <w:t>іден</w:t>
            </w:r>
            <w:r w:rsidR="00CF69EE" w:rsidRPr="00FB4E14">
              <w:rPr>
                <w:rFonts w:ascii="Times New Roman" w:hAnsi="Times New Roman"/>
                <w:sz w:val="28"/>
                <w:szCs w:val="28"/>
              </w:rPr>
              <w:t>-</w:t>
            </w:r>
            <w:r w:rsidRPr="00FB4E14">
              <w:rPr>
                <w:rFonts w:ascii="Times New Roman" w:hAnsi="Times New Roman"/>
                <w:sz w:val="28"/>
                <w:szCs w:val="28"/>
              </w:rPr>
              <w:t>тифікаційний</w:t>
            </w:r>
            <w:proofErr w:type="spellEnd"/>
            <w:r w:rsidRPr="00FB4E14">
              <w:rPr>
                <w:rFonts w:ascii="Times New Roman" w:hAnsi="Times New Roman"/>
                <w:sz w:val="28"/>
                <w:szCs w:val="28"/>
              </w:rPr>
              <w:t xml:space="preserve"> код </w:t>
            </w:r>
            <w:r w:rsidR="00CF69EE" w:rsidRPr="00FB4E14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3A5670">
              <w:rPr>
                <w:rFonts w:ascii="Times New Roman" w:hAnsi="Times New Roman"/>
                <w:sz w:val="28"/>
                <w:szCs w:val="28"/>
              </w:rPr>
              <w:t>38028661</w:t>
            </w:r>
            <w:r w:rsidRPr="00FB4E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36F649F7" w14:textId="64014E23" w:rsidR="003A5670" w:rsidRPr="003A5670" w:rsidRDefault="005C3532" w:rsidP="00135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Промисловий майданчик</w:t>
            </w:r>
            <w:r w:rsidR="003A5670">
              <w:rPr>
                <w:rFonts w:ascii="Times New Roman" w:hAnsi="Times New Roman" w:cs="Times New Roman"/>
                <w:sz w:val="28"/>
                <w:szCs w:val="28"/>
              </w:rPr>
              <w:t xml:space="preserve"> – виробничий корпус ТОВ з ІІ </w:t>
            </w:r>
            <w:r w:rsidR="003A5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«АТОЛЛ ПЕІНТ УКРАЇНА»:</w:t>
            </w:r>
          </w:p>
          <w:p w14:paraId="288BBF07" w14:textId="77777777" w:rsidR="003A5670" w:rsidRDefault="003A5670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51909, Дніпропетровська область, </w:t>
            </w:r>
          </w:p>
          <w:p w14:paraId="68ACAA3A" w14:textId="04661F2B" w:rsidR="003A5670" w:rsidRDefault="003A5670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Кам’янське, </w:t>
            </w:r>
          </w:p>
          <w:p w14:paraId="7EE55FA6" w14:textId="430B6E1A" w:rsidR="00135871" w:rsidRPr="00FB4E14" w:rsidRDefault="003A5670" w:rsidP="001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Горобця, 2Б</w:t>
            </w:r>
          </w:p>
          <w:p w14:paraId="40934DDA" w14:textId="77777777" w:rsidR="00135871" w:rsidRPr="00FB4E14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FB4E14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FB4E1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7E580678" w14:textId="78F29303" w:rsidR="00501C04" w:rsidRPr="006608FC" w:rsidRDefault="00501C04" w:rsidP="004C4FE1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8FC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C450DF" w:rsidRPr="006608FC">
              <w:rPr>
                <w:rFonts w:ascii="Times New Roman" w:hAnsi="Times New Roman" w:cs="Times New Roman"/>
                <w:sz w:val="28"/>
                <w:szCs w:val="28"/>
              </w:rPr>
              <w:t xml:space="preserve"> частини четвертої</w:t>
            </w:r>
            <w:r w:rsidRPr="006608FC">
              <w:rPr>
                <w:rFonts w:ascii="Times New Roman" w:hAnsi="Times New Roman" w:cs="Times New Roman"/>
                <w:sz w:val="28"/>
                <w:szCs w:val="28"/>
              </w:rPr>
              <w:t xml:space="preserve"> статті</w:t>
            </w:r>
            <w:r w:rsidRPr="006608FC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Pr="006608FC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6608FC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11FD1857" w14:textId="0CDE465B" w:rsidR="00501C04" w:rsidRPr="006608FC" w:rsidRDefault="00411DE2" w:rsidP="00411DE2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8FC">
              <w:rPr>
                <w:rFonts w:ascii="Times New Roman" w:hAnsi="Times New Roman"/>
                <w:sz w:val="28"/>
                <w:szCs w:val="28"/>
              </w:rPr>
              <w:t>1. </w:t>
            </w:r>
            <w:r w:rsidR="00501C04" w:rsidRPr="006608FC">
              <w:rPr>
                <w:rFonts w:ascii="Times New Roman" w:hAnsi="Times New Roman"/>
                <w:sz w:val="28"/>
                <w:szCs w:val="28"/>
              </w:rPr>
              <w:t>Виявлення в документах, поданих суб’єктом господарювання, недостовірних відомостей.</w:t>
            </w:r>
          </w:p>
          <w:p w14:paraId="38A12B89" w14:textId="01F262D2" w:rsidR="00711F70" w:rsidRPr="006608FC" w:rsidRDefault="006608FC" w:rsidP="000C373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 27.06.2023 № 448, зареєстрованої в Міністерстві юстиції України 23.08.2023 за № 1475/40531 (далі – Інструкція), а саме:</w:t>
            </w:r>
          </w:p>
          <w:p w14:paraId="18AC5C4E" w14:textId="2CD53C93" w:rsidR="00BC0C3B" w:rsidRDefault="001E5D91" w:rsidP="00BC0C3B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 повністю надано порівняльну характеристику із попереднім дозволом на викиди та </w:t>
            </w:r>
            <w:r w:rsidR="0013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інформацію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стосовно </w:t>
            </w:r>
            <w:r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внесення змін до дозволу на викиди (</w:t>
            </w:r>
            <w:r w:rsidRPr="001E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надається інформація із змінами, що вносяться у порівнянні з попереднім дозволом, зміна нумерації джерел викидів з наданням відомостей стосовно наявних джерел викидів та новостворених джерел викидів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І</w:t>
            </w:r>
            <w:r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нформацію необхідно нада</w:t>
            </w:r>
            <w:r w:rsidR="000B5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з урахуванням вимог статті 25 Закону України «Про охорону атмосферного повітря»</w:t>
            </w:r>
            <w:r w:rsidR="001B1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Крім того, надане обґрунтування</w:t>
            </w:r>
            <w:r w:rsidR="008D2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</w:t>
            </w:r>
            <w:r w:rsidR="001B1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стосовно неврахування джерел викидів </w:t>
            </w:r>
            <w:r w:rsidR="00C22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8D2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22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промисловому майданчику адміністративного </w:t>
            </w:r>
            <w:r w:rsidR="008D2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корпусу </w:t>
            </w:r>
            <w:r w:rsidR="00C22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містить суперечливу інформацію про </w:t>
            </w:r>
            <w:r w:rsidR="008D2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належність об’єкту до об’єктів</w:t>
            </w:r>
            <w:r w:rsidR="00C22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підвищеної небезпеки</w:t>
            </w:r>
            <w:r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14:paraId="3580E1CB" w14:textId="647EE1DE" w:rsidR="001E72DB" w:rsidRPr="00AE3A06" w:rsidRDefault="00A6214C" w:rsidP="008D2AE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8FC">
              <w:rPr>
                <w:rFonts w:ascii="Times New Roman" w:hAnsi="Times New Roman"/>
                <w:sz w:val="28"/>
                <w:szCs w:val="28"/>
              </w:rPr>
              <w:t xml:space="preserve">інформацію </w:t>
            </w:r>
            <w:r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r w:rsidRPr="00660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взяття об’єкта на державний облік, яку надано відповідно до пункту 4 розділу І Інструкції </w:t>
            </w:r>
            <w:r w:rsidR="00BC0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необхідно скоригувати </w:t>
            </w:r>
            <w:r w:rsidRPr="00660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урахуванням даних, які отримані в результаті проведення інвентаризації викидів </w:t>
            </w:r>
            <w:r w:rsidR="00BC0C3B">
              <w:rPr>
                <w:rFonts w:ascii="Times New Roman" w:eastAsia="Times New Roman" w:hAnsi="Times New Roman" w:cs="Times New Roman"/>
                <w:sz w:val="28"/>
                <w:szCs w:val="28"/>
              </w:rPr>
              <w:t>забруднюючих речовин на об’єкті</w:t>
            </w:r>
            <w:r w:rsidR="00C22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(інформацію необхідно надати з урахуванням нових джерел викидів)</w:t>
            </w:r>
            <w:r w:rsidR="008D2A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2C62E5F7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14:paraId="691CF790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2506B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3CB13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26633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5C0DD2" w14:textId="3D343299" w:rsidR="009D4961" w:rsidRPr="008D2AEA" w:rsidRDefault="009D4961" w:rsidP="00B07160">
      <w:pPr>
        <w:rPr>
          <w:rFonts w:ascii="Times New Roman" w:hAnsi="Times New Roman" w:cs="Times New Roman"/>
          <w:sz w:val="2"/>
          <w:szCs w:val="2"/>
        </w:rPr>
      </w:pPr>
    </w:p>
    <w:p w14:paraId="5B77A529" w14:textId="190B6092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234D57">
        <w:rPr>
          <w:rFonts w:ascii="Times New Roman" w:hAnsi="Times New Roman" w:cs="Times New Roman"/>
          <w:sz w:val="28"/>
          <w:szCs w:val="28"/>
        </w:rPr>
        <w:t>_______</w:t>
      </w:r>
      <w:r w:rsidR="00734FF1">
        <w:rPr>
          <w:rFonts w:ascii="Times New Roman" w:hAnsi="Times New Roman" w:cs="Times New Roman"/>
          <w:sz w:val="28"/>
          <w:szCs w:val="28"/>
        </w:rPr>
        <w:t>___</w:t>
      </w:r>
    </w:p>
    <w:sectPr w:rsidR="003A626B" w:rsidRPr="00913704" w:rsidSect="008D2AEA">
      <w:headerReference w:type="default" r:id="rId8"/>
      <w:pgSz w:w="16838" w:h="11906" w:orient="landscape"/>
      <w:pgMar w:top="56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6D58E" w14:textId="77777777" w:rsidR="000364A3" w:rsidRDefault="000364A3" w:rsidP="0071143E">
      <w:pPr>
        <w:spacing w:after="0" w:line="240" w:lineRule="auto"/>
      </w:pPr>
      <w:r>
        <w:separator/>
      </w:r>
    </w:p>
  </w:endnote>
  <w:endnote w:type="continuationSeparator" w:id="0">
    <w:p w14:paraId="72EFE5EC" w14:textId="77777777" w:rsidR="000364A3" w:rsidRDefault="000364A3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00496" w14:textId="77777777" w:rsidR="000364A3" w:rsidRDefault="000364A3" w:rsidP="0071143E">
      <w:pPr>
        <w:spacing w:after="0" w:line="240" w:lineRule="auto"/>
      </w:pPr>
      <w:r>
        <w:separator/>
      </w:r>
    </w:p>
  </w:footnote>
  <w:footnote w:type="continuationSeparator" w:id="0">
    <w:p w14:paraId="16078435" w14:textId="77777777" w:rsidR="000364A3" w:rsidRDefault="000364A3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646" w:rsidRPr="00524646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27CFF"/>
    <w:rsid w:val="000364A3"/>
    <w:rsid w:val="00041C75"/>
    <w:rsid w:val="00044825"/>
    <w:rsid w:val="0004661E"/>
    <w:rsid w:val="000551D0"/>
    <w:rsid w:val="00056F58"/>
    <w:rsid w:val="00064BF3"/>
    <w:rsid w:val="00066F8F"/>
    <w:rsid w:val="00083385"/>
    <w:rsid w:val="000861E9"/>
    <w:rsid w:val="000A1CDB"/>
    <w:rsid w:val="000B4578"/>
    <w:rsid w:val="000B54F2"/>
    <w:rsid w:val="000B73CD"/>
    <w:rsid w:val="000C1B4E"/>
    <w:rsid w:val="000C3731"/>
    <w:rsid w:val="000C544C"/>
    <w:rsid w:val="000E388A"/>
    <w:rsid w:val="001135B8"/>
    <w:rsid w:val="0012202C"/>
    <w:rsid w:val="00133B59"/>
    <w:rsid w:val="00134A36"/>
    <w:rsid w:val="00135871"/>
    <w:rsid w:val="00136F0F"/>
    <w:rsid w:val="001776EA"/>
    <w:rsid w:val="00186285"/>
    <w:rsid w:val="00186846"/>
    <w:rsid w:val="001A5498"/>
    <w:rsid w:val="001B10FD"/>
    <w:rsid w:val="001B1511"/>
    <w:rsid w:val="001C3752"/>
    <w:rsid w:val="001E2EF3"/>
    <w:rsid w:val="001E5D91"/>
    <w:rsid w:val="001E71AD"/>
    <w:rsid w:val="001E72DB"/>
    <w:rsid w:val="00204EB9"/>
    <w:rsid w:val="002157D8"/>
    <w:rsid w:val="00216D35"/>
    <w:rsid w:val="002206A9"/>
    <w:rsid w:val="002279C7"/>
    <w:rsid w:val="00234D57"/>
    <w:rsid w:val="00260645"/>
    <w:rsid w:val="002708DA"/>
    <w:rsid w:val="002A1461"/>
    <w:rsid w:val="002C19AB"/>
    <w:rsid w:val="002C7378"/>
    <w:rsid w:val="002E25F4"/>
    <w:rsid w:val="00306E2A"/>
    <w:rsid w:val="00317201"/>
    <w:rsid w:val="003353D0"/>
    <w:rsid w:val="00335D59"/>
    <w:rsid w:val="003365C6"/>
    <w:rsid w:val="00341647"/>
    <w:rsid w:val="003536EA"/>
    <w:rsid w:val="00360320"/>
    <w:rsid w:val="00364290"/>
    <w:rsid w:val="00373C13"/>
    <w:rsid w:val="003748FF"/>
    <w:rsid w:val="00390653"/>
    <w:rsid w:val="003A5670"/>
    <w:rsid w:val="003A626B"/>
    <w:rsid w:val="003E23BD"/>
    <w:rsid w:val="003E3834"/>
    <w:rsid w:val="00411DE2"/>
    <w:rsid w:val="00412B3A"/>
    <w:rsid w:val="00416717"/>
    <w:rsid w:val="00416B49"/>
    <w:rsid w:val="00420B0C"/>
    <w:rsid w:val="00442EDA"/>
    <w:rsid w:val="00446C04"/>
    <w:rsid w:val="00450AE3"/>
    <w:rsid w:val="0045212A"/>
    <w:rsid w:val="00464CDC"/>
    <w:rsid w:val="00476172"/>
    <w:rsid w:val="00481204"/>
    <w:rsid w:val="004A6914"/>
    <w:rsid w:val="004C4FE1"/>
    <w:rsid w:val="004C50BE"/>
    <w:rsid w:val="004C5B18"/>
    <w:rsid w:val="004C6A2D"/>
    <w:rsid w:val="004E00F1"/>
    <w:rsid w:val="004E6C27"/>
    <w:rsid w:val="004F44EB"/>
    <w:rsid w:val="00501C04"/>
    <w:rsid w:val="0051005E"/>
    <w:rsid w:val="00524646"/>
    <w:rsid w:val="00525E96"/>
    <w:rsid w:val="0055146D"/>
    <w:rsid w:val="00553376"/>
    <w:rsid w:val="00575B29"/>
    <w:rsid w:val="005850CB"/>
    <w:rsid w:val="005943E7"/>
    <w:rsid w:val="00596B5F"/>
    <w:rsid w:val="005A2255"/>
    <w:rsid w:val="005A5BBD"/>
    <w:rsid w:val="005B0CC1"/>
    <w:rsid w:val="005B5760"/>
    <w:rsid w:val="005B5AAB"/>
    <w:rsid w:val="005C2FDE"/>
    <w:rsid w:val="005C3532"/>
    <w:rsid w:val="005C45AD"/>
    <w:rsid w:val="00601920"/>
    <w:rsid w:val="00604996"/>
    <w:rsid w:val="006053A7"/>
    <w:rsid w:val="00632F9A"/>
    <w:rsid w:val="00647356"/>
    <w:rsid w:val="006608FC"/>
    <w:rsid w:val="006B4627"/>
    <w:rsid w:val="006C55B5"/>
    <w:rsid w:val="006D2690"/>
    <w:rsid w:val="006E384A"/>
    <w:rsid w:val="0071143E"/>
    <w:rsid w:val="00711F70"/>
    <w:rsid w:val="00712DB4"/>
    <w:rsid w:val="00725604"/>
    <w:rsid w:val="00726199"/>
    <w:rsid w:val="00734FF1"/>
    <w:rsid w:val="0073773F"/>
    <w:rsid w:val="007547F7"/>
    <w:rsid w:val="00761FFC"/>
    <w:rsid w:val="0079094F"/>
    <w:rsid w:val="007918DD"/>
    <w:rsid w:val="007E7598"/>
    <w:rsid w:val="00811B2F"/>
    <w:rsid w:val="00827CBC"/>
    <w:rsid w:val="00836274"/>
    <w:rsid w:val="008545D9"/>
    <w:rsid w:val="00855F59"/>
    <w:rsid w:val="00857E2F"/>
    <w:rsid w:val="00882FD3"/>
    <w:rsid w:val="00896B5F"/>
    <w:rsid w:val="008C0933"/>
    <w:rsid w:val="008D2AEA"/>
    <w:rsid w:val="008D4B01"/>
    <w:rsid w:val="008D6FB1"/>
    <w:rsid w:val="008E6C98"/>
    <w:rsid w:val="008F7630"/>
    <w:rsid w:val="008F7949"/>
    <w:rsid w:val="008F7E83"/>
    <w:rsid w:val="00903187"/>
    <w:rsid w:val="009044E7"/>
    <w:rsid w:val="009115E9"/>
    <w:rsid w:val="00913704"/>
    <w:rsid w:val="00913737"/>
    <w:rsid w:val="009529FF"/>
    <w:rsid w:val="009639CB"/>
    <w:rsid w:val="009763E6"/>
    <w:rsid w:val="00992F0B"/>
    <w:rsid w:val="0099326A"/>
    <w:rsid w:val="009B2E1D"/>
    <w:rsid w:val="009B7677"/>
    <w:rsid w:val="009D4961"/>
    <w:rsid w:val="009D6279"/>
    <w:rsid w:val="009E0845"/>
    <w:rsid w:val="009E21D3"/>
    <w:rsid w:val="009E69C4"/>
    <w:rsid w:val="009F5077"/>
    <w:rsid w:val="00A106FF"/>
    <w:rsid w:val="00A3207D"/>
    <w:rsid w:val="00A378E2"/>
    <w:rsid w:val="00A418B8"/>
    <w:rsid w:val="00A4237F"/>
    <w:rsid w:val="00A479CE"/>
    <w:rsid w:val="00A5001D"/>
    <w:rsid w:val="00A5418B"/>
    <w:rsid w:val="00A6214C"/>
    <w:rsid w:val="00A74EA7"/>
    <w:rsid w:val="00AA373D"/>
    <w:rsid w:val="00AA5049"/>
    <w:rsid w:val="00AA6A60"/>
    <w:rsid w:val="00AB066C"/>
    <w:rsid w:val="00AD0EB9"/>
    <w:rsid w:val="00AD1EAA"/>
    <w:rsid w:val="00AE3A06"/>
    <w:rsid w:val="00AF39E7"/>
    <w:rsid w:val="00B05379"/>
    <w:rsid w:val="00B07160"/>
    <w:rsid w:val="00B15AB3"/>
    <w:rsid w:val="00B25274"/>
    <w:rsid w:val="00B54288"/>
    <w:rsid w:val="00B619F0"/>
    <w:rsid w:val="00B62BC2"/>
    <w:rsid w:val="00B64D6E"/>
    <w:rsid w:val="00B6692E"/>
    <w:rsid w:val="00B850E0"/>
    <w:rsid w:val="00B852D5"/>
    <w:rsid w:val="00B85E26"/>
    <w:rsid w:val="00B95AB9"/>
    <w:rsid w:val="00BA3610"/>
    <w:rsid w:val="00BB223C"/>
    <w:rsid w:val="00BC0C3B"/>
    <w:rsid w:val="00BD0A29"/>
    <w:rsid w:val="00BD6BFA"/>
    <w:rsid w:val="00C22EF6"/>
    <w:rsid w:val="00C4025D"/>
    <w:rsid w:val="00C40CA7"/>
    <w:rsid w:val="00C450DF"/>
    <w:rsid w:val="00C51510"/>
    <w:rsid w:val="00C570CE"/>
    <w:rsid w:val="00C7636C"/>
    <w:rsid w:val="00C81453"/>
    <w:rsid w:val="00C93A23"/>
    <w:rsid w:val="00C943F7"/>
    <w:rsid w:val="00C96414"/>
    <w:rsid w:val="00CE7329"/>
    <w:rsid w:val="00CE78D7"/>
    <w:rsid w:val="00CF69EE"/>
    <w:rsid w:val="00D11996"/>
    <w:rsid w:val="00D20768"/>
    <w:rsid w:val="00D352F4"/>
    <w:rsid w:val="00D5294A"/>
    <w:rsid w:val="00D7240F"/>
    <w:rsid w:val="00D73ABB"/>
    <w:rsid w:val="00D7488F"/>
    <w:rsid w:val="00D760D3"/>
    <w:rsid w:val="00D84331"/>
    <w:rsid w:val="00D928A6"/>
    <w:rsid w:val="00DA5135"/>
    <w:rsid w:val="00DB75BD"/>
    <w:rsid w:val="00DD6065"/>
    <w:rsid w:val="00E02C8F"/>
    <w:rsid w:val="00E12809"/>
    <w:rsid w:val="00E20388"/>
    <w:rsid w:val="00E25524"/>
    <w:rsid w:val="00E32699"/>
    <w:rsid w:val="00E41737"/>
    <w:rsid w:val="00E42AF5"/>
    <w:rsid w:val="00E44522"/>
    <w:rsid w:val="00E45022"/>
    <w:rsid w:val="00E46489"/>
    <w:rsid w:val="00E47C48"/>
    <w:rsid w:val="00E536A6"/>
    <w:rsid w:val="00E57E0C"/>
    <w:rsid w:val="00E620A3"/>
    <w:rsid w:val="00E71B57"/>
    <w:rsid w:val="00E75917"/>
    <w:rsid w:val="00EA35C1"/>
    <w:rsid w:val="00EA4AC1"/>
    <w:rsid w:val="00EC10EE"/>
    <w:rsid w:val="00ED4F60"/>
    <w:rsid w:val="00EE2031"/>
    <w:rsid w:val="00EF056E"/>
    <w:rsid w:val="00EF1545"/>
    <w:rsid w:val="00EF1F20"/>
    <w:rsid w:val="00F13865"/>
    <w:rsid w:val="00F27F72"/>
    <w:rsid w:val="00F332BA"/>
    <w:rsid w:val="00F36780"/>
    <w:rsid w:val="00F43FF4"/>
    <w:rsid w:val="00F50905"/>
    <w:rsid w:val="00F72A69"/>
    <w:rsid w:val="00F90AEB"/>
    <w:rsid w:val="00F9256A"/>
    <w:rsid w:val="00FA5379"/>
    <w:rsid w:val="00FB0405"/>
    <w:rsid w:val="00FB4E14"/>
    <w:rsid w:val="00FC4B90"/>
    <w:rsid w:val="00FD5EC6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ABL">
    <w:name w:val="Таблиця № (TABL)"/>
    <w:basedOn w:val="a"/>
    <w:uiPriority w:val="99"/>
    <w:rsid w:val="00E42AF5"/>
    <w:pPr>
      <w:keepNext/>
      <w:widowControl w:val="0"/>
      <w:tabs>
        <w:tab w:val="right" w:pos="6350"/>
      </w:tabs>
      <w:autoSpaceDE w:val="0"/>
      <w:autoSpaceDN w:val="0"/>
      <w:adjustRightInd w:val="0"/>
      <w:spacing w:before="170" w:after="85" w:line="257" w:lineRule="auto"/>
      <w:ind w:firstLine="283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5C36B-06AC-4CF1-A98B-D862AA21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1873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2025-07-10T06:14:00Z</cp:lastPrinted>
  <dcterms:created xsi:type="dcterms:W3CDTF">2025-07-10T06:14:00Z</dcterms:created>
  <dcterms:modified xsi:type="dcterms:W3CDTF">2025-07-10T06:14:00Z</dcterms:modified>
</cp:coreProperties>
</file>