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89" w:rsidRPr="00D65389" w:rsidRDefault="00D65389" w:rsidP="00D65389">
      <w:pPr>
        <w:pStyle w:val="ab"/>
        <w:rPr>
          <w:lang w:val="uk-UA"/>
        </w:rPr>
      </w:pPr>
    </w:p>
    <w:p w:rsidR="00D65389" w:rsidRPr="00D65389" w:rsidRDefault="00D65389" w:rsidP="00D65389">
      <w:pPr>
        <w:jc w:val="right"/>
        <w:rPr>
          <w:lang w:val="uk-UA"/>
        </w:rPr>
      </w:pPr>
      <w:r w:rsidRPr="00D65389">
        <w:rPr>
          <w:lang w:val="uk-UA"/>
        </w:rPr>
        <w:t>Додаток 1</w:t>
      </w:r>
    </w:p>
    <w:p w:rsidR="002F1572" w:rsidRDefault="002F1572" w:rsidP="005F35EC">
      <w:pPr>
        <w:pStyle w:val="a7"/>
        <w:spacing w:before="0" w:beforeAutospacing="0" w:after="0" w:afterAutospacing="0"/>
        <w:jc w:val="center"/>
        <w:rPr>
          <w:caps/>
          <w:sz w:val="22"/>
          <w:szCs w:val="22"/>
          <w:lang w:val="uk-UA"/>
        </w:rPr>
      </w:pPr>
    </w:p>
    <w:p w:rsidR="006801DC" w:rsidRPr="006801DC" w:rsidRDefault="006801DC" w:rsidP="006801DC">
      <w:pPr>
        <w:pStyle w:val="a7"/>
        <w:spacing w:before="0" w:beforeAutospacing="0" w:after="0" w:afterAutospacing="0"/>
        <w:jc w:val="center"/>
        <w:rPr>
          <w:b/>
          <w:lang w:val="uk-UA"/>
        </w:rPr>
      </w:pPr>
      <w:r w:rsidRPr="006801DC">
        <w:rPr>
          <w:b/>
          <w:lang w:val="uk-UA"/>
        </w:rPr>
        <w:t xml:space="preserve">Повідомлення про намір отримати </w:t>
      </w:r>
      <w:r w:rsidRPr="006801DC">
        <w:rPr>
          <w:b/>
        </w:rPr>
        <w:t>Д</w:t>
      </w:r>
      <w:proofErr w:type="spellStart"/>
      <w:r w:rsidRPr="006801DC">
        <w:rPr>
          <w:b/>
          <w:lang w:val="uk-UA"/>
        </w:rPr>
        <w:t>озвіл</w:t>
      </w:r>
      <w:proofErr w:type="spellEnd"/>
      <w:r w:rsidRPr="006801DC">
        <w:rPr>
          <w:b/>
          <w:lang w:val="uk-UA"/>
        </w:rPr>
        <w:t xml:space="preserve"> на викиди</w:t>
      </w:r>
    </w:p>
    <w:p w:rsidR="006801DC" w:rsidRDefault="006801DC" w:rsidP="006801DC">
      <w:pPr>
        <w:pStyle w:val="aa"/>
        <w:spacing w:line="240" w:lineRule="auto"/>
        <w:rPr>
          <w:rFonts w:ascii="Times New Roman" w:hAnsi="Times New Roman" w:cs="Times New Roman"/>
          <w:lang w:val="uk-UA"/>
        </w:rPr>
      </w:pPr>
      <w:r w:rsidRPr="006801DC">
        <w:rPr>
          <w:rFonts w:ascii="Times New Roman" w:hAnsi="Times New Roman" w:cs="Times New Roman"/>
          <w:lang w:val="uk-UA"/>
        </w:rPr>
        <w:t>забруднюючих речовин</w:t>
      </w:r>
    </w:p>
    <w:p w:rsidR="006801DC" w:rsidRPr="00D65389" w:rsidRDefault="006801DC" w:rsidP="006801DC">
      <w:pPr>
        <w:autoSpaceDE w:val="0"/>
        <w:autoSpaceDN w:val="0"/>
        <w:adjustRightInd w:val="0"/>
        <w:ind w:left="900" w:hanging="900"/>
        <w:jc w:val="center"/>
        <w:rPr>
          <w:lang w:val="uk-UA"/>
        </w:rPr>
      </w:pPr>
    </w:p>
    <w:p w:rsidR="006801DC" w:rsidRPr="006801DC" w:rsidRDefault="006801DC" w:rsidP="006801DC">
      <w:pPr>
        <w:jc w:val="both"/>
      </w:pPr>
      <w:r w:rsidRPr="006801DC">
        <w:rPr>
          <w:lang w:val="uk-UA"/>
        </w:rPr>
        <w:t xml:space="preserve">     Готель «</w:t>
      </w:r>
      <w:proofErr w:type="spellStart"/>
      <w:r w:rsidRPr="006801DC">
        <w:rPr>
          <w:lang w:val="uk-UA"/>
        </w:rPr>
        <w:t>Black</w:t>
      </w:r>
      <w:proofErr w:type="spellEnd"/>
      <w:r w:rsidRPr="006801DC">
        <w:rPr>
          <w:lang w:val="uk-UA"/>
        </w:rPr>
        <w:t xml:space="preserve"> </w:t>
      </w:r>
      <w:proofErr w:type="spellStart"/>
      <w:r w:rsidRPr="006801DC">
        <w:rPr>
          <w:lang w:val="uk-UA"/>
        </w:rPr>
        <w:t>Sea</w:t>
      </w:r>
      <w:proofErr w:type="spellEnd"/>
      <w:r w:rsidRPr="006801DC">
        <w:rPr>
          <w:lang w:val="uk-UA"/>
        </w:rPr>
        <w:t xml:space="preserve"> </w:t>
      </w:r>
      <w:proofErr w:type="spellStart"/>
      <w:r w:rsidRPr="006801DC">
        <w:rPr>
          <w:lang w:val="uk-UA"/>
        </w:rPr>
        <w:t>Central</w:t>
      </w:r>
      <w:proofErr w:type="spellEnd"/>
      <w:r w:rsidRPr="006801DC">
        <w:rPr>
          <w:lang w:val="uk-UA"/>
        </w:rPr>
        <w:t xml:space="preserve">»  (ТОВ «БЛЕК СІ ХОТЕЛ ГРУП»), код ЄДРПОУ – 39783349, юридична адреса: </w:t>
      </w:r>
      <w:r w:rsidRPr="006801DC">
        <w:rPr>
          <w:color w:val="000000"/>
          <w:lang w:val="uk-UA"/>
        </w:rPr>
        <w:t xml:space="preserve">65012, Одеська область, </w:t>
      </w:r>
      <w:hyperlink r:id="rId5" w:history="1">
        <w:r w:rsidRPr="006801DC">
          <w:rPr>
            <w:color w:val="000000"/>
            <w:lang w:val="uk-UA"/>
          </w:rPr>
          <w:t>м. Одеса</w:t>
        </w:r>
      </w:hyperlink>
      <w:r w:rsidRPr="006801DC">
        <w:rPr>
          <w:color w:val="000000"/>
          <w:lang w:val="uk-UA"/>
        </w:rPr>
        <w:t xml:space="preserve">, вул. </w:t>
      </w:r>
      <w:proofErr w:type="spellStart"/>
      <w:r w:rsidRPr="006801DC">
        <w:rPr>
          <w:color w:val="000000"/>
          <w:lang w:val="uk-UA"/>
        </w:rPr>
        <w:t>Пантелеймонівська</w:t>
      </w:r>
      <w:proofErr w:type="spellEnd"/>
      <w:r w:rsidRPr="006801DC">
        <w:rPr>
          <w:color w:val="000000"/>
          <w:lang w:val="uk-UA"/>
        </w:rPr>
        <w:t>, 25</w:t>
      </w:r>
      <w:r w:rsidRPr="006801DC">
        <w:rPr>
          <w:lang w:val="uk-UA"/>
        </w:rPr>
        <w:t xml:space="preserve">, </w:t>
      </w:r>
      <w:proofErr w:type="spellStart"/>
      <w:r w:rsidRPr="006801DC">
        <w:rPr>
          <w:lang w:val="uk-UA"/>
        </w:rPr>
        <w:t>тел</w:t>
      </w:r>
      <w:proofErr w:type="spellEnd"/>
      <w:r w:rsidRPr="006801DC">
        <w:rPr>
          <w:lang w:val="uk-UA"/>
        </w:rPr>
        <w:t xml:space="preserve">. </w:t>
      </w:r>
      <w:r w:rsidR="00676882" w:rsidRPr="00676882">
        <w:rPr>
          <w:bCs/>
        </w:rPr>
        <w:t>048-797-24-40</w:t>
      </w:r>
      <w:r w:rsidRPr="006801DC">
        <w:rPr>
          <w:lang w:val="uk-UA"/>
        </w:rPr>
        <w:t xml:space="preserve">, </w:t>
      </w:r>
      <w:r w:rsidRPr="006801DC">
        <w:rPr>
          <w:shd w:val="clear" w:color="auto" w:fill="FFFFFF"/>
          <w:lang w:val="en-US"/>
        </w:rPr>
        <w:t>e</w:t>
      </w:r>
      <w:r w:rsidRPr="006801DC">
        <w:rPr>
          <w:shd w:val="clear" w:color="auto" w:fill="FFFFFF"/>
          <w:lang w:val="uk-UA"/>
        </w:rPr>
        <w:t>-</w:t>
      </w:r>
      <w:r w:rsidRPr="006801DC">
        <w:rPr>
          <w:shd w:val="clear" w:color="auto" w:fill="FFFFFF"/>
          <w:lang w:val="en-US"/>
        </w:rPr>
        <w:t>mail</w:t>
      </w:r>
      <w:r w:rsidRPr="006801DC">
        <w:rPr>
          <w:shd w:val="clear" w:color="auto" w:fill="FFFFFF"/>
          <w:lang w:val="uk-UA"/>
        </w:rPr>
        <w:t xml:space="preserve">: </w:t>
      </w:r>
      <w:proofErr w:type="spellStart"/>
      <w:r w:rsidRPr="006801DC">
        <w:t>lawyer</w:t>
      </w:r>
      <w:proofErr w:type="spellEnd"/>
      <w:r w:rsidRPr="006801DC">
        <w:rPr>
          <w:lang w:val="uk-UA"/>
        </w:rPr>
        <w:t>@</w:t>
      </w:r>
      <w:proofErr w:type="spellStart"/>
      <w:r w:rsidRPr="006801DC">
        <w:t>bs</w:t>
      </w:r>
      <w:proofErr w:type="spellEnd"/>
      <w:r w:rsidRPr="006801DC">
        <w:rPr>
          <w:lang w:val="uk-UA"/>
        </w:rPr>
        <w:t>-</w:t>
      </w:r>
      <w:proofErr w:type="spellStart"/>
      <w:r w:rsidRPr="006801DC">
        <w:t>hotel</w:t>
      </w:r>
      <w:proofErr w:type="spellEnd"/>
      <w:r w:rsidRPr="006801DC">
        <w:rPr>
          <w:lang w:val="uk-UA"/>
        </w:rPr>
        <w:t>.</w:t>
      </w:r>
      <w:proofErr w:type="spellStart"/>
      <w:r w:rsidRPr="006801DC">
        <w:t>com</w:t>
      </w:r>
      <w:proofErr w:type="spellEnd"/>
      <w:r w:rsidRPr="006801DC">
        <w:rPr>
          <w:lang w:val="uk-UA"/>
        </w:rPr>
        <w:t>.</w:t>
      </w:r>
      <w:proofErr w:type="spellStart"/>
      <w:r w:rsidRPr="006801DC">
        <w:t>ua</w:t>
      </w:r>
      <w:proofErr w:type="spellEnd"/>
      <w:r w:rsidRPr="006801DC">
        <w:rPr>
          <w:bCs/>
          <w:lang w:val="uk-UA" w:eastAsia="uk-UA"/>
        </w:rPr>
        <w:t xml:space="preserve"> </w:t>
      </w:r>
      <w:r w:rsidRPr="006801DC">
        <w:rPr>
          <w:lang w:val="uk-UA"/>
        </w:rPr>
        <w:t xml:space="preserve">- </w:t>
      </w:r>
      <w:r w:rsidRPr="006801DC">
        <w:rPr>
          <w:color w:val="212121"/>
          <w:lang w:val="uk-UA"/>
        </w:rPr>
        <w:t>спеціалізується на наданні послуг проживання громадянам та інші послуги на європейському рівні</w:t>
      </w:r>
      <w:r w:rsidRPr="006801DC">
        <w:t>.</w:t>
      </w:r>
    </w:p>
    <w:p w:rsidR="006801DC" w:rsidRPr="006801DC" w:rsidRDefault="006801DC" w:rsidP="006801DC">
      <w:pPr>
        <w:rPr>
          <w:lang w:val="uk-UA"/>
        </w:rPr>
      </w:pPr>
      <w:r w:rsidRPr="006801DC">
        <w:rPr>
          <w:lang w:val="uk-UA"/>
        </w:rPr>
        <w:t>Адреса</w:t>
      </w:r>
      <w:r w:rsidRPr="006801DC">
        <w:rPr>
          <w:shd w:val="clear" w:color="auto" w:fill="FFFFFF"/>
          <w:lang w:val="uk-UA"/>
        </w:rPr>
        <w:t xml:space="preserve"> </w:t>
      </w:r>
      <w:r w:rsidRPr="006801DC">
        <w:rPr>
          <w:lang w:val="uk-UA"/>
        </w:rPr>
        <w:t>Готелю «</w:t>
      </w:r>
      <w:proofErr w:type="spellStart"/>
      <w:r w:rsidRPr="006801DC">
        <w:rPr>
          <w:lang w:val="uk-UA"/>
        </w:rPr>
        <w:t>Black</w:t>
      </w:r>
      <w:proofErr w:type="spellEnd"/>
      <w:r w:rsidRPr="006801DC">
        <w:rPr>
          <w:lang w:val="uk-UA"/>
        </w:rPr>
        <w:t xml:space="preserve"> </w:t>
      </w:r>
      <w:proofErr w:type="spellStart"/>
      <w:r w:rsidRPr="006801DC">
        <w:rPr>
          <w:lang w:val="uk-UA"/>
        </w:rPr>
        <w:t>Sea</w:t>
      </w:r>
      <w:proofErr w:type="spellEnd"/>
      <w:r w:rsidRPr="006801DC">
        <w:rPr>
          <w:lang w:val="uk-UA"/>
        </w:rPr>
        <w:t xml:space="preserve"> </w:t>
      </w:r>
      <w:proofErr w:type="spellStart"/>
      <w:r w:rsidRPr="006801DC">
        <w:rPr>
          <w:lang w:val="uk-UA"/>
        </w:rPr>
        <w:t>Central</w:t>
      </w:r>
      <w:proofErr w:type="spellEnd"/>
      <w:r w:rsidRPr="006801DC">
        <w:rPr>
          <w:lang w:val="uk-UA"/>
        </w:rPr>
        <w:t xml:space="preserve">»  (ТОВ «БЛЕК СІ ХОТЕЛ ГРУП»): 65012, м. Одеса, вул. </w:t>
      </w:r>
      <w:proofErr w:type="spellStart"/>
      <w:r w:rsidRPr="006801DC">
        <w:rPr>
          <w:lang w:val="uk-UA"/>
        </w:rPr>
        <w:t>Рішельевська</w:t>
      </w:r>
      <w:proofErr w:type="spellEnd"/>
      <w:r w:rsidRPr="006801DC">
        <w:rPr>
          <w:lang w:val="uk-UA"/>
        </w:rPr>
        <w:t>, 59.</w:t>
      </w:r>
    </w:p>
    <w:p w:rsidR="006801DC" w:rsidRPr="006801DC" w:rsidRDefault="006801DC" w:rsidP="006801DC">
      <w:pPr>
        <w:pStyle w:val="a6"/>
        <w:spacing w:after="0"/>
        <w:ind w:left="0"/>
        <w:rPr>
          <w:rFonts w:ascii="Times New Roman" w:hAnsi="Times New Roman" w:cs="Times New Roman"/>
          <w:lang w:val="uk-UA"/>
        </w:rPr>
      </w:pPr>
      <w:r w:rsidRPr="006801DC">
        <w:rPr>
          <w:rFonts w:ascii="Times New Roman" w:hAnsi="Times New Roman" w:cs="Times New Roman"/>
          <w:lang w:val="uk-UA"/>
        </w:rPr>
        <w:t xml:space="preserve">     Метою отримання дозволу на викиди є отримання </w:t>
      </w:r>
      <w:r w:rsidRPr="006801DC">
        <w:rPr>
          <w:rFonts w:ascii="Times New Roman" w:hAnsi="Times New Roman" w:cs="Times New Roman"/>
          <w:shd w:val="clear" w:color="auto" w:fill="FFFFFF"/>
          <w:lang w:val="uk-UA"/>
        </w:rPr>
        <w:t>документу дозвільного характеру у сфері охорони атмосферного повітря, який надає право Готелю експлуатувати об’єкти, з яких надходять в атмосферне повітря забруднюючі речовини або їх суміші</w:t>
      </w:r>
      <w:r w:rsidRPr="006801DC">
        <w:rPr>
          <w:rFonts w:ascii="Times New Roman" w:hAnsi="Times New Roman" w:cs="Times New Roman"/>
          <w:lang w:val="uk-UA"/>
        </w:rPr>
        <w:t>.</w:t>
      </w:r>
    </w:p>
    <w:p w:rsidR="006801DC" w:rsidRPr="006801DC" w:rsidRDefault="006801DC" w:rsidP="006801DC">
      <w:pPr>
        <w:pStyle w:val="a6"/>
        <w:spacing w:after="0"/>
        <w:ind w:left="0"/>
        <w:rPr>
          <w:rFonts w:ascii="Times New Roman" w:hAnsi="Times New Roman" w:cs="Times New Roman"/>
          <w:lang w:val="uk-UA"/>
        </w:rPr>
      </w:pPr>
      <w:r w:rsidRPr="006801DC">
        <w:rPr>
          <w:rFonts w:ascii="Times New Roman" w:hAnsi="Times New Roman" w:cs="Times New Roman"/>
          <w:lang w:val="uk-UA"/>
        </w:rPr>
        <w:t>Згідно з вимогами Закону України «Про оцінку впливу на довкілля» діяльність Готелю «</w:t>
      </w:r>
      <w:proofErr w:type="spellStart"/>
      <w:r w:rsidRPr="006801DC">
        <w:rPr>
          <w:rFonts w:ascii="Times New Roman" w:hAnsi="Times New Roman" w:cs="Times New Roman"/>
          <w:lang w:val="uk-UA"/>
        </w:rPr>
        <w:t>Black</w:t>
      </w:r>
      <w:proofErr w:type="spellEnd"/>
      <w:r w:rsidRPr="006801DC">
        <w:rPr>
          <w:rFonts w:ascii="Times New Roman" w:hAnsi="Times New Roman" w:cs="Times New Roman"/>
          <w:lang w:val="uk-UA"/>
        </w:rPr>
        <w:t xml:space="preserve"> </w:t>
      </w:r>
      <w:proofErr w:type="spellStart"/>
      <w:r w:rsidRPr="006801DC">
        <w:rPr>
          <w:rFonts w:ascii="Times New Roman" w:hAnsi="Times New Roman" w:cs="Times New Roman"/>
          <w:lang w:val="uk-UA"/>
        </w:rPr>
        <w:t>Sea</w:t>
      </w:r>
      <w:proofErr w:type="spellEnd"/>
      <w:r w:rsidRPr="006801DC">
        <w:rPr>
          <w:rFonts w:ascii="Times New Roman" w:hAnsi="Times New Roman" w:cs="Times New Roman"/>
          <w:lang w:val="uk-UA"/>
        </w:rPr>
        <w:t xml:space="preserve"> </w:t>
      </w:r>
      <w:proofErr w:type="spellStart"/>
      <w:r w:rsidRPr="006801DC">
        <w:rPr>
          <w:rFonts w:ascii="Times New Roman" w:hAnsi="Times New Roman" w:cs="Times New Roman"/>
          <w:lang w:val="uk-UA"/>
        </w:rPr>
        <w:t>Central</w:t>
      </w:r>
      <w:proofErr w:type="spellEnd"/>
      <w:r w:rsidRPr="006801DC">
        <w:rPr>
          <w:rFonts w:ascii="Times New Roman" w:hAnsi="Times New Roman" w:cs="Times New Roman"/>
          <w:lang w:val="uk-UA"/>
        </w:rPr>
        <w:t xml:space="preserve">» оцінці впливу на довкілля не підлягає. </w:t>
      </w:r>
    </w:p>
    <w:p w:rsidR="006801DC" w:rsidRPr="006801DC" w:rsidRDefault="006801DC" w:rsidP="006801DC">
      <w:pPr>
        <w:pStyle w:val="a6"/>
        <w:autoSpaceDE w:val="0"/>
        <w:autoSpaceDN w:val="0"/>
        <w:spacing w:after="0"/>
        <w:ind w:left="0"/>
        <w:jc w:val="both"/>
        <w:rPr>
          <w:rFonts w:ascii="Times New Roman" w:hAnsi="Times New Roman" w:cs="Times New Roman"/>
          <w:lang w:val="uk-UA"/>
        </w:rPr>
      </w:pPr>
      <w:r w:rsidRPr="006801DC">
        <w:rPr>
          <w:rFonts w:ascii="Times New Roman" w:hAnsi="Times New Roman" w:cs="Times New Roman"/>
          <w:lang w:val="uk-UA"/>
        </w:rPr>
        <w:t xml:space="preserve">     Процеси, пов'язані з викидами забруднюючих речовин в атмосферу: експлуатація двох </w:t>
      </w:r>
      <w:r w:rsidRPr="006801DC">
        <w:rPr>
          <w:rFonts w:ascii="Times New Roman" w:hAnsi="Times New Roman" w:cs="Times New Roman"/>
          <w:bCs/>
          <w:lang w:val="uk-UA"/>
        </w:rPr>
        <w:t>газових настінних котлів (опалювальний період),</w:t>
      </w:r>
      <w:r w:rsidRPr="006801DC">
        <w:rPr>
          <w:rFonts w:ascii="Times New Roman" w:hAnsi="Times New Roman" w:cs="Times New Roman"/>
          <w:lang w:val="uk-UA"/>
        </w:rPr>
        <w:t xml:space="preserve"> дизельного генератора (періодично), обладнання кухні і п'яти пральних машин.</w:t>
      </w:r>
    </w:p>
    <w:p w:rsidR="006801DC" w:rsidRPr="006801DC" w:rsidRDefault="006801DC" w:rsidP="006801DC">
      <w:pPr>
        <w:pStyle w:val="2"/>
        <w:jc w:val="both"/>
        <w:rPr>
          <w:sz w:val="24"/>
        </w:rPr>
      </w:pPr>
      <w:r w:rsidRPr="006801DC">
        <w:rPr>
          <w:sz w:val="24"/>
        </w:rPr>
        <w:t xml:space="preserve">     При експлуатації вказаного обладнання в атмосферу викидається такі групи/підгрупи інгредієнтів:</w:t>
      </w:r>
    </w:p>
    <w:p w:rsidR="006801DC" w:rsidRPr="006801DC" w:rsidRDefault="006801DC" w:rsidP="006801DC">
      <w:pPr>
        <w:spacing w:line="254" w:lineRule="auto"/>
        <w:rPr>
          <w:b/>
        </w:rPr>
      </w:pPr>
      <w:proofErr w:type="spellStart"/>
      <w:r w:rsidRPr="006801DC">
        <w:rPr>
          <w:color w:val="333333"/>
          <w:u w:val="single"/>
          <w:shd w:val="clear" w:color="auto" w:fill="FFFFFF"/>
        </w:rPr>
        <w:t>речовини</w:t>
      </w:r>
      <w:proofErr w:type="spellEnd"/>
      <w:r w:rsidRPr="006801DC">
        <w:rPr>
          <w:color w:val="333333"/>
          <w:u w:val="single"/>
          <w:shd w:val="clear" w:color="auto" w:fill="FFFFFF"/>
        </w:rPr>
        <w:t xml:space="preserve"> у </w:t>
      </w:r>
      <w:proofErr w:type="spellStart"/>
      <w:r w:rsidRPr="006801DC">
        <w:rPr>
          <w:color w:val="333333"/>
          <w:u w:val="single"/>
          <w:shd w:val="clear" w:color="auto" w:fill="FFFFFF"/>
        </w:rPr>
        <w:t>вигляді</w:t>
      </w:r>
      <w:proofErr w:type="spellEnd"/>
      <w:r w:rsidRPr="006801DC">
        <w:rPr>
          <w:color w:val="333333"/>
          <w:u w:val="single"/>
          <w:shd w:val="clear" w:color="auto" w:fill="FFFFFF"/>
        </w:rPr>
        <w:t xml:space="preserve"> </w:t>
      </w:r>
      <w:proofErr w:type="spellStart"/>
      <w:r w:rsidRPr="006801DC">
        <w:rPr>
          <w:color w:val="333333"/>
          <w:u w:val="single"/>
          <w:shd w:val="clear" w:color="auto" w:fill="FFFFFF"/>
        </w:rPr>
        <w:t>суспендованих</w:t>
      </w:r>
      <w:proofErr w:type="spellEnd"/>
      <w:r w:rsidRPr="006801DC">
        <w:rPr>
          <w:color w:val="333333"/>
          <w:u w:val="single"/>
          <w:shd w:val="clear" w:color="auto" w:fill="FFFFFF"/>
        </w:rPr>
        <w:t xml:space="preserve"> </w:t>
      </w:r>
      <w:proofErr w:type="spellStart"/>
      <w:r w:rsidRPr="006801DC">
        <w:rPr>
          <w:color w:val="333333"/>
          <w:u w:val="single"/>
          <w:shd w:val="clear" w:color="auto" w:fill="FFFFFF"/>
        </w:rPr>
        <w:t>твердих</w:t>
      </w:r>
      <w:proofErr w:type="spellEnd"/>
      <w:r w:rsidRPr="006801DC">
        <w:rPr>
          <w:color w:val="333333"/>
          <w:u w:val="single"/>
          <w:shd w:val="clear" w:color="auto" w:fill="FFFFFF"/>
        </w:rPr>
        <w:t xml:space="preserve"> </w:t>
      </w:r>
      <w:proofErr w:type="spellStart"/>
      <w:r w:rsidRPr="006801DC">
        <w:rPr>
          <w:color w:val="333333"/>
          <w:u w:val="single"/>
          <w:shd w:val="clear" w:color="auto" w:fill="FFFFFF"/>
        </w:rPr>
        <w:t>частинок</w:t>
      </w:r>
      <w:proofErr w:type="spellEnd"/>
      <w:r w:rsidRPr="006801DC">
        <w:rPr>
          <w:color w:val="333333"/>
          <w:u w:val="single"/>
          <w:shd w:val="clear" w:color="auto" w:fill="FFFFFF"/>
        </w:rPr>
        <w:t xml:space="preserve"> (</w:t>
      </w:r>
      <w:proofErr w:type="spellStart"/>
      <w:r w:rsidRPr="006801DC">
        <w:rPr>
          <w:color w:val="333333"/>
          <w:u w:val="single"/>
          <w:shd w:val="clear" w:color="auto" w:fill="FFFFFF"/>
        </w:rPr>
        <w:t>мікрочастинки</w:t>
      </w:r>
      <w:proofErr w:type="spellEnd"/>
      <w:r w:rsidRPr="006801DC">
        <w:rPr>
          <w:color w:val="333333"/>
          <w:u w:val="single"/>
          <w:shd w:val="clear" w:color="auto" w:fill="FFFFFF"/>
        </w:rPr>
        <w:t xml:space="preserve"> та волокна)</w:t>
      </w:r>
      <w:r w:rsidRPr="006801DC">
        <w:rPr>
          <w:b/>
          <w:sz w:val="22"/>
          <w:szCs w:val="22"/>
          <w:lang w:val="uk-UA"/>
        </w:rPr>
        <w:t xml:space="preserve"> </w:t>
      </w:r>
      <w:r w:rsidRPr="006801DC">
        <w:rPr>
          <w:sz w:val="22"/>
          <w:szCs w:val="22"/>
          <w:lang w:val="uk-UA"/>
        </w:rPr>
        <w:t>(0,00091 т/</w:t>
      </w:r>
      <w:r w:rsidRPr="006801DC">
        <w:rPr>
          <w:color w:val="333333"/>
          <w:shd w:val="clear" w:color="auto" w:fill="FFFFFF"/>
          <w:lang w:val="uk-UA"/>
        </w:rPr>
        <w:t>рік)</w:t>
      </w:r>
      <w:r w:rsidRPr="006801DC">
        <w:rPr>
          <w:color w:val="333333"/>
          <w:shd w:val="clear" w:color="auto" w:fill="FFFFFF"/>
        </w:rPr>
        <w:t>,</w:t>
      </w:r>
      <w:r w:rsidRPr="006801DC">
        <w:rPr>
          <w:b/>
        </w:rPr>
        <w:t xml:space="preserve"> </w:t>
      </w:r>
    </w:p>
    <w:p w:rsidR="006801DC" w:rsidRPr="006801DC" w:rsidRDefault="006801DC" w:rsidP="006801DC">
      <w:pPr>
        <w:pStyle w:val="2"/>
        <w:jc w:val="both"/>
        <w:rPr>
          <w:sz w:val="24"/>
        </w:rPr>
      </w:pPr>
      <w:r w:rsidRPr="006801DC">
        <w:rPr>
          <w:sz w:val="24"/>
          <w:lang w:val="ru-RU"/>
        </w:rPr>
        <w:t xml:space="preserve">в </w:t>
      </w:r>
      <w:proofErr w:type="spellStart"/>
      <w:r w:rsidRPr="006801DC">
        <w:rPr>
          <w:sz w:val="24"/>
          <w:lang w:val="ru-RU"/>
        </w:rPr>
        <w:t>т.р</w:t>
      </w:r>
      <w:proofErr w:type="spellEnd"/>
      <w:r w:rsidRPr="006801DC">
        <w:rPr>
          <w:sz w:val="24"/>
          <w:lang w:val="ru-RU"/>
        </w:rPr>
        <w:t>.:</w:t>
      </w:r>
      <w:r w:rsidRPr="006801DC">
        <w:rPr>
          <w:sz w:val="24"/>
        </w:rPr>
        <w:t xml:space="preserve"> речовини у вигляді суспендованих твердих частинок більше 2,5 </w:t>
      </w:r>
      <w:proofErr w:type="spellStart"/>
      <w:r w:rsidRPr="006801DC">
        <w:rPr>
          <w:sz w:val="24"/>
        </w:rPr>
        <w:t>мкм</w:t>
      </w:r>
      <w:proofErr w:type="spellEnd"/>
      <w:r w:rsidRPr="006801DC">
        <w:rPr>
          <w:sz w:val="24"/>
        </w:rPr>
        <w:t xml:space="preserve"> і менше 10 </w:t>
      </w:r>
      <w:proofErr w:type="spellStart"/>
      <w:r w:rsidRPr="006801DC">
        <w:rPr>
          <w:sz w:val="24"/>
        </w:rPr>
        <w:t>мкм</w:t>
      </w:r>
      <w:proofErr w:type="spellEnd"/>
      <w:r w:rsidRPr="006801DC">
        <w:rPr>
          <w:sz w:val="24"/>
        </w:rPr>
        <w:t>,</w:t>
      </w:r>
      <w:r w:rsidRPr="006801DC">
        <w:rPr>
          <w:sz w:val="24"/>
          <w:lang w:val="ru-RU"/>
        </w:rPr>
        <w:t xml:space="preserve"> </w:t>
      </w:r>
      <w:proofErr w:type="spellStart"/>
      <w:r w:rsidRPr="006801DC">
        <w:rPr>
          <w:sz w:val="24"/>
          <w:lang w:val="ru-RU"/>
        </w:rPr>
        <w:t>речовини</w:t>
      </w:r>
      <w:proofErr w:type="spellEnd"/>
      <w:r w:rsidRPr="006801DC">
        <w:rPr>
          <w:sz w:val="24"/>
          <w:lang w:val="ru-RU"/>
        </w:rPr>
        <w:t xml:space="preserve"> у </w:t>
      </w:r>
      <w:proofErr w:type="spellStart"/>
      <w:r w:rsidRPr="006801DC">
        <w:rPr>
          <w:sz w:val="24"/>
          <w:lang w:val="ru-RU"/>
        </w:rPr>
        <w:t>вигляді</w:t>
      </w:r>
      <w:proofErr w:type="spellEnd"/>
      <w:r w:rsidRPr="006801DC">
        <w:rPr>
          <w:sz w:val="24"/>
          <w:lang w:val="ru-RU"/>
        </w:rPr>
        <w:t xml:space="preserve"> </w:t>
      </w:r>
      <w:proofErr w:type="spellStart"/>
      <w:r w:rsidRPr="006801DC">
        <w:rPr>
          <w:sz w:val="24"/>
          <w:lang w:val="ru-RU"/>
        </w:rPr>
        <w:t>суспендованих</w:t>
      </w:r>
      <w:proofErr w:type="spellEnd"/>
      <w:r w:rsidRPr="006801DC">
        <w:rPr>
          <w:sz w:val="24"/>
          <w:lang w:val="ru-RU"/>
        </w:rPr>
        <w:t xml:space="preserve"> </w:t>
      </w:r>
      <w:proofErr w:type="spellStart"/>
      <w:r w:rsidRPr="006801DC">
        <w:rPr>
          <w:sz w:val="24"/>
          <w:lang w:val="ru-RU"/>
        </w:rPr>
        <w:t>твердих</w:t>
      </w:r>
      <w:proofErr w:type="spellEnd"/>
      <w:r w:rsidRPr="006801DC">
        <w:rPr>
          <w:sz w:val="24"/>
          <w:lang w:val="ru-RU"/>
        </w:rPr>
        <w:t xml:space="preserve"> </w:t>
      </w:r>
      <w:proofErr w:type="spellStart"/>
      <w:r w:rsidRPr="006801DC">
        <w:rPr>
          <w:sz w:val="24"/>
          <w:lang w:val="ru-RU"/>
        </w:rPr>
        <w:t>частинок</w:t>
      </w:r>
      <w:proofErr w:type="spellEnd"/>
      <w:r w:rsidRPr="006801DC">
        <w:rPr>
          <w:sz w:val="24"/>
          <w:lang w:val="ru-RU"/>
        </w:rPr>
        <w:t xml:space="preserve"> 2,5 мкм та </w:t>
      </w:r>
      <w:proofErr w:type="spellStart"/>
      <w:r w:rsidRPr="006801DC">
        <w:rPr>
          <w:sz w:val="24"/>
          <w:lang w:val="ru-RU"/>
        </w:rPr>
        <w:t>менше</w:t>
      </w:r>
      <w:proofErr w:type="spellEnd"/>
      <w:r w:rsidRPr="006801DC">
        <w:rPr>
          <w:sz w:val="24"/>
          <w:lang w:val="ru-RU"/>
        </w:rPr>
        <w:t>;</w:t>
      </w:r>
    </w:p>
    <w:p w:rsidR="006801DC" w:rsidRPr="006801DC" w:rsidRDefault="006801DC" w:rsidP="006801DC">
      <w:pPr>
        <w:pStyle w:val="2"/>
        <w:jc w:val="both"/>
        <w:rPr>
          <w:sz w:val="24"/>
        </w:rPr>
      </w:pPr>
      <w:r w:rsidRPr="006801DC">
        <w:rPr>
          <w:color w:val="333333"/>
          <w:sz w:val="24"/>
          <w:shd w:val="clear" w:color="auto" w:fill="FFFFFF"/>
          <w:lang w:val="ru-RU"/>
        </w:rPr>
        <w:t>о</w:t>
      </w:r>
      <w:proofErr w:type="spellStart"/>
      <w:r w:rsidRPr="006801DC">
        <w:rPr>
          <w:color w:val="333333"/>
          <w:sz w:val="24"/>
          <w:shd w:val="clear" w:color="auto" w:fill="FFFFFF"/>
        </w:rPr>
        <w:t>ксиди</w:t>
      </w:r>
      <w:proofErr w:type="spellEnd"/>
      <w:r w:rsidRPr="006801DC">
        <w:rPr>
          <w:color w:val="333333"/>
          <w:sz w:val="24"/>
          <w:shd w:val="clear" w:color="auto" w:fill="FFFFFF"/>
        </w:rPr>
        <w:t xml:space="preserve"> азоту (у перерахунку на діоксид азоту [NO + NО</w:t>
      </w:r>
      <w:r w:rsidRPr="006801DC">
        <w:rPr>
          <w:sz w:val="24"/>
          <w:vertAlign w:val="subscript"/>
        </w:rPr>
        <w:t>2</w:t>
      </w:r>
      <w:r w:rsidRPr="006801DC">
        <w:rPr>
          <w:color w:val="333333"/>
          <w:sz w:val="24"/>
          <w:shd w:val="clear" w:color="auto" w:fill="FFFFFF"/>
        </w:rPr>
        <w:t>])</w:t>
      </w:r>
      <w:r w:rsidRPr="006801DC">
        <w:rPr>
          <w:color w:val="333333"/>
          <w:sz w:val="24"/>
          <w:shd w:val="clear" w:color="auto" w:fill="FFFFFF"/>
          <w:lang w:val="ru-RU"/>
        </w:rPr>
        <w:t xml:space="preserve"> (</w:t>
      </w:r>
      <w:r w:rsidRPr="006801DC">
        <w:rPr>
          <w:sz w:val="22"/>
          <w:szCs w:val="22"/>
        </w:rPr>
        <w:t>0,03116 т/</w:t>
      </w:r>
      <w:r w:rsidRPr="006801DC">
        <w:rPr>
          <w:color w:val="333333"/>
          <w:sz w:val="22"/>
          <w:szCs w:val="22"/>
          <w:shd w:val="clear" w:color="auto" w:fill="FFFFFF"/>
        </w:rPr>
        <w:t>рік</w:t>
      </w:r>
      <w:r w:rsidRPr="006801DC">
        <w:rPr>
          <w:color w:val="333333"/>
          <w:sz w:val="24"/>
          <w:shd w:val="clear" w:color="auto" w:fill="FFFFFF"/>
          <w:lang w:val="ru-RU"/>
        </w:rPr>
        <w:t>)</w:t>
      </w:r>
      <w:r w:rsidRPr="006801DC">
        <w:rPr>
          <w:sz w:val="24"/>
        </w:rPr>
        <w:t>;</w:t>
      </w:r>
    </w:p>
    <w:p w:rsidR="006801DC" w:rsidRPr="006801DC" w:rsidRDefault="006801DC" w:rsidP="006801DC">
      <w:pPr>
        <w:pStyle w:val="2"/>
        <w:jc w:val="both"/>
        <w:rPr>
          <w:b/>
          <w:sz w:val="24"/>
        </w:rPr>
      </w:pPr>
      <w:r w:rsidRPr="006801DC">
        <w:rPr>
          <w:sz w:val="24"/>
        </w:rPr>
        <w:t>азоту (1) оксид [N</w:t>
      </w:r>
      <w:r w:rsidRPr="006801DC">
        <w:rPr>
          <w:sz w:val="24"/>
          <w:vertAlign w:val="subscript"/>
        </w:rPr>
        <w:t>2</w:t>
      </w:r>
      <w:r w:rsidRPr="006801DC">
        <w:rPr>
          <w:sz w:val="24"/>
        </w:rPr>
        <w:t>O];</w:t>
      </w:r>
    </w:p>
    <w:p w:rsidR="006801DC" w:rsidRPr="006801DC" w:rsidRDefault="006801DC" w:rsidP="006801DC">
      <w:pPr>
        <w:pStyle w:val="2"/>
        <w:jc w:val="both"/>
        <w:rPr>
          <w:sz w:val="24"/>
        </w:rPr>
      </w:pPr>
      <w:r w:rsidRPr="006801DC">
        <w:rPr>
          <w:sz w:val="24"/>
          <w:u w:val="single"/>
        </w:rPr>
        <w:t>діоксид та інші сполуки сірки</w:t>
      </w:r>
      <w:r w:rsidRPr="006801DC">
        <w:rPr>
          <w:sz w:val="24"/>
        </w:rPr>
        <w:t xml:space="preserve">, в </w:t>
      </w:r>
      <w:proofErr w:type="spellStart"/>
      <w:r w:rsidRPr="006801DC">
        <w:rPr>
          <w:sz w:val="24"/>
        </w:rPr>
        <w:t>т.р</w:t>
      </w:r>
      <w:proofErr w:type="spellEnd"/>
      <w:r w:rsidRPr="006801DC">
        <w:rPr>
          <w:sz w:val="24"/>
        </w:rPr>
        <w:t xml:space="preserve">.: </w:t>
      </w:r>
      <w:r w:rsidRPr="006801DC">
        <w:rPr>
          <w:color w:val="333333"/>
          <w:sz w:val="24"/>
          <w:shd w:val="clear" w:color="auto" w:fill="FFFFFF"/>
        </w:rPr>
        <w:t>сірки діоксид (</w:t>
      </w:r>
      <w:r w:rsidRPr="006801DC">
        <w:rPr>
          <w:sz w:val="24"/>
        </w:rPr>
        <w:t>0,00039 т/</w:t>
      </w:r>
      <w:r w:rsidRPr="006801DC">
        <w:rPr>
          <w:color w:val="333333"/>
          <w:sz w:val="24"/>
          <w:shd w:val="clear" w:color="auto" w:fill="FFFFFF"/>
        </w:rPr>
        <w:t>рік)</w:t>
      </w:r>
      <w:r w:rsidRPr="006801DC">
        <w:rPr>
          <w:sz w:val="24"/>
        </w:rPr>
        <w:t>;</w:t>
      </w:r>
    </w:p>
    <w:p w:rsidR="006801DC" w:rsidRPr="006801DC" w:rsidRDefault="006801DC" w:rsidP="006801DC">
      <w:pPr>
        <w:pStyle w:val="2"/>
        <w:jc w:val="both"/>
        <w:rPr>
          <w:sz w:val="24"/>
        </w:rPr>
      </w:pPr>
      <w:r w:rsidRPr="006801DC">
        <w:rPr>
          <w:sz w:val="24"/>
          <w:u w:val="single"/>
        </w:rPr>
        <w:t>оксид вуглецю (</w:t>
      </w:r>
      <w:r w:rsidRPr="006801DC">
        <w:rPr>
          <w:sz w:val="24"/>
        </w:rPr>
        <w:t>0,29183 т/</w:t>
      </w:r>
      <w:r w:rsidRPr="006801DC">
        <w:rPr>
          <w:color w:val="333333"/>
          <w:sz w:val="24"/>
          <w:shd w:val="clear" w:color="auto" w:fill="FFFFFF"/>
        </w:rPr>
        <w:t>рік</w:t>
      </w:r>
      <w:r w:rsidRPr="006801DC">
        <w:rPr>
          <w:sz w:val="24"/>
          <w:u w:val="single"/>
        </w:rPr>
        <w:t>)</w:t>
      </w:r>
      <w:r w:rsidRPr="006801DC">
        <w:rPr>
          <w:sz w:val="24"/>
        </w:rPr>
        <w:t>;</w:t>
      </w:r>
    </w:p>
    <w:p w:rsidR="006801DC" w:rsidRPr="006801DC" w:rsidRDefault="006801DC" w:rsidP="006801DC">
      <w:pPr>
        <w:pStyle w:val="2"/>
        <w:jc w:val="both"/>
        <w:rPr>
          <w:sz w:val="24"/>
        </w:rPr>
      </w:pPr>
      <w:r w:rsidRPr="006801DC">
        <w:rPr>
          <w:sz w:val="24"/>
          <w:u w:val="single"/>
        </w:rPr>
        <w:t>вуглецю діоксид</w:t>
      </w:r>
      <w:r w:rsidRPr="006801DC">
        <w:rPr>
          <w:sz w:val="24"/>
        </w:rPr>
        <w:t>;</w:t>
      </w:r>
    </w:p>
    <w:p w:rsidR="006801DC" w:rsidRPr="006801DC" w:rsidRDefault="006801DC" w:rsidP="006801DC">
      <w:pPr>
        <w:pStyle w:val="2"/>
        <w:jc w:val="both"/>
        <w:rPr>
          <w:color w:val="333333"/>
          <w:sz w:val="24"/>
          <w:shd w:val="clear" w:color="auto" w:fill="FFFFFF"/>
        </w:rPr>
      </w:pPr>
      <w:r w:rsidRPr="006801DC">
        <w:rPr>
          <w:color w:val="333333"/>
          <w:sz w:val="24"/>
          <w:shd w:val="clear" w:color="auto" w:fill="FFFFFF"/>
        </w:rPr>
        <w:t>натрію гідрооксид (натр їдкий, сода каустична);</w:t>
      </w:r>
    </w:p>
    <w:p w:rsidR="006801DC" w:rsidRPr="006801DC" w:rsidRDefault="006801DC" w:rsidP="006801DC">
      <w:pPr>
        <w:pStyle w:val="2"/>
        <w:jc w:val="both"/>
        <w:rPr>
          <w:color w:val="333333"/>
          <w:sz w:val="24"/>
          <w:shd w:val="clear" w:color="auto" w:fill="FFFFFF"/>
          <w:lang w:val="ru-RU"/>
        </w:rPr>
      </w:pPr>
      <w:r w:rsidRPr="006801DC">
        <w:rPr>
          <w:color w:val="333333"/>
          <w:sz w:val="24"/>
          <w:shd w:val="clear" w:color="auto" w:fill="FFFFFF"/>
          <w:lang w:val="ru-RU"/>
        </w:rPr>
        <w:t>н</w:t>
      </w:r>
      <w:r w:rsidRPr="006801DC">
        <w:rPr>
          <w:color w:val="333333"/>
          <w:sz w:val="24"/>
          <w:shd w:val="clear" w:color="auto" w:fill="FFFFFF"/>
        </w:rPr>
        <w:t>атрію карбонат (сода кальцинована)</w:t>
      </w:r>
      <w:r w:rsidRPr="006801DC">
        <w:rPr>
          <w:color w:val="333333"/>
          <w:sz w:val="24"/>
          <w:shd w:val="clear" w:color="auto" w:fill="FFFFFF"/>
          <w:lang w:val="ru-RU"/>
        </w:rPr>
        <w:t>;</w:t>
      </w:r>
    </w:p>
    <w:p w:rsidR="006801DC" w:rsidRPr="006801DC" w:rsidRDefault="006801DC" w:rsidP="006801DC">
      <w:pPr>
        <w:pStyle w:val="2"/>
        <w:jc w:val="both"/>
        <w:rPr>
          <w:sz w:val="24"/>
          <w:lang w:val="ru-RU"/>
        </w:rPr>
      </w:pPr>
      <w:r w:rsidRPr="006801DC">
        <w:rPr>
          <w:color w:val="333333"/>
          <w:sz w:val="24"/>
          <w:u w:val="single"/>
          <w:shd w:val="clear" w:color="auto" w:fill="FFFFFF"/>
          <w:lang w:val="ru-RU"/>
        </w:rPr>
        <w:t>НМЛОС</w:t>
      </w:r>
      <w:r w:rsidRPr="006801DC">
        <w:rPr>
          <w:sz w:val="24"/>
          <w:lang w:val="ru-RU"/>
        </w:rPr>
        <w:t xml:space="preserve"> в </w:t>
      </w:r>
      <w:proofErr w:type="spellStart"/>
      <w:r w:rsidRPr="006801DC">
        <w:rPr>
          <w:sz w:val="24"/>
          <w:lang w:val="ru-RU"/>
        </w:rPr>
        <w:t>т.р</w:t>
      </w:r>
      <w:proofErr w:type="spellEnd"/>
      <w:r w:rsidRPr="006801DC">
        <w:rPr>
          <w:sz w:val="24"/>
          <w:lang w:val="ru-RU"/>
        </w:rPr>
        <w:t>.:</w:t>
      </w:r>
      <w:bookmarkStart w:id="0" w:name="_GoBack"/>
      <w:bookmarkEnd w:id="0"/>
    </w:p>
    <w:p w:rsidR="006801DC" w:rsidRPr="006801DC" w:rsidRDefault="006801DC" w:rsidP="006801DC">
      <w:pPr>
        <w:pStyle w:val="2"/>
        <w:jc w:val="both"/>
        <w:rPr>
          <w:color w:val="333333"/>
          <w:sz w:val="24"/>
          <w:shd w:val="clear" w:color="auto" w:fill="FFFFFF"/>
        </w:rPr>
      </w:pPr>
      <w:r w:rsidRPr="006801DC">
        <w:rPr>
          <w:sz w:val="24"/>
          <w:lang w:val="ru-RU"/>
        </w:rPr>
        <w:t>а</w:t>
      </w:r>
      <w:proofErr w:type="spellStart"/>
      <w:r w:rsidRPr="006801DC">
        <w:rPr>
          <w:sz w:val="24"/>
        </w:rPr>
        <w:t>кролеїн</w:t>
      </w:r>
      <w:proofErr w:type="spellEnd"/>
      <w:r w:rsidRPr="006801DC">
        <w:rPr>
          <w:sz w:val="24"/>
          <w:lang w:val="ru-RU"/>
        </w:rPr>
        <w:t xml:space="preserve"> (0,00252</w:t>
      </w:r>
      <w:r w:rsidRPr="006801DC">
        <w:rPr>
          <w:sz w:val="24"/>
        </w:rPr>
        <w:t xml:space="preserve"> т/</w:t>
      </w:r>
      <w:r w:rsidRPr="006801DC">
        <w:rPr>
          <w:color w:val="333333"/>
          <w:sz w:val="24"/>
          <w:shd w:val="clear" w:color="auto" w:fill="FFFFFF"/>
        </w:rPr>
        <w:t>рік</w:t>
      </w:r>
      <w:r w:rsidRPr="006801DC">
        <w:rPr>
          <w:color w:val="333333"/>
          <w:sz w:val="24"/>
          <w:shd w:val="clear" w:color="auto" w:fill="FFFFFF"/>
          <w:lang w:val="ru-RU"/>
        </w:rPr>
        <w:t>);</w:t>
      </w:r>
    </w:p>
    <w:p w:rsidR="006801DC" w:rsidRPr="006801DC" w:rsidRDefault="006801DC" w:rsidP="006801DC">
      <w:pPr>
        <w:pStyle w:val="a6"/>
        <w:autoSpaceDE w:val="0"/>
        <w:autoSpaceDN w:val="0"/>
        <w:spacing w:after="0"/>
        <w:ind w:left="0"/>
        <w:jc w:val="both"/>
        <w:rPr>
          <w:rFonts w:ascii="Times New Roman" w:hAnsi="Times New Roman" w:cs="Times New Roman"/>
          <w:u w:val="single"/>
          <w:lang w:val="uk-UA"/>
        </w:rPr>
      </w:pPr>
      <w:r w:rsidRPr="006801DC">
        <w:rPr>
          <w:rFonts w:ascii="Times New Roman" w:hAnsi="Times New Roman" w:cs="Times New Roman"/>
          <w:u w:val="single"/>
          <w:lang w:val="uk-UA"/>
        </w:rPr>
        <w:t>метан.</w:t>
      </w:r>
    </w:p>
    <w:p w:rsidR="009F2732" w:rsidRPr="009E0710" w:rsidRDefault="006801DC" w:rsidP="009F2732">
      <w:pPr>
        <w:pStyle w:val="a4"/>
        <w:tabs>
          <w:tab w:val="clear" w:pos="4153"/>
          <w:tab w:val="center" w:pos="709"/>
        </w:tabs>
        <w:jc w:val="both"/>
        <w:rPr>
          <w:rFonts w:ascii="Times New Roman" w:hAnsi="Times New Roman" w:cs="Times New Roman"/>
          <w:sz w:val="24"/>
          <w:szCs w:val="24"/>
          <w:lang w:val="uk-UA" w:eastAsia="uk-UA"/>
        </w:rPr>
      </w:pPr>
      <w:r w:rsidRPr="009E0710">
        <w:rPr>
          <w:rFonts w:ascii="Times New Roman" w:hAnsi="Times New Roman" w:cs="Times New Roman"/>
          <w:sz w:val="24"/>
          <w:szCs w:val="24"/>
          <w:lang w:val="uk-UA" w:eastAsia="uk-UA"/>
        </w:rPr>
        <w:t xml:space="preserve">     </w:t>
      </w:r>
      <w:r w:rsidR="009F2732" w:rsidRPr="009E0710">
        <w:rPr>
          <w:rFonts w:ascii="Times New Roman" w:hAnsi="Times New Roman" w:cs="Times New Roman"/>
          <w:sz w:val="24"/>
          <w:szCs w:val="24"/>
          <w:lang w:val="uk-UA" w:eastAsia="uk-UA"/>
        </w:rPr>
        <w:t>Загальний обсяг ЗР, які викидаються стаціонарними джерелами (без урахування вуглецю діоксиду), не перевищує 0,40 т/рік.</w:t>
      </w:r>
    </w:p>
    <w:p w:rsidR="006801DC" w:rsidRPr="009E0710" w:rsidRDefault="009F2732" w:rsidP="009F2732">
      <w:pPr>
        <w:pStyle w:val="a4"/>
        <w:tabs>
          <w:tab w:val="clear" w:pos="4153"/>
          <w:tab w:val="center" w:pos="709"/>
        </w:tabs>
        <w:jc w:val="both"/>
        <w:rPr>
          <w:rFonts w:ascii="Times New Roman" w:hAnsi="Times New Roman" w:cs="Times New Roman"/>
          <w:sz w:val="24"/>
          <w:szCs w:val="24"/>
          <w:lang w:val="uk-UA"/>
        </w:rPr>
      </w:pPr>
      <w:r w:rsidRPr="009E0710">
        <w:rPr>
          <w:rFonts w:ascii="Times New Roman" w:hAnsi="Times New Roman" w:cs="Times New Roman"/>
          <w:sz w:val="24"/>
          <w:szCs w:val="24"/>
          <w:lang w:val="uk-UA" w:eastAsia="uk-UA"/>
        </w:rPr>
        <w:t xml:space="preserve">    </w:t>
      </w:r>
      <w:r w:rsidR="006801DC" w:rsidRPr="009E0710">
        <w:rPr>
          <w:rFonts w:ascii="Times New Roman" w:hAnsi="Times New Roman" w:cs="Times New Roman"/>
          <w:sz w:val="24"/>
          <w:szCs w:val="24"/>
          <w:lang w:val="uk-UA"/>
        </w:rPr>
        <w:t>Заходи щодо впровадження найкращих існуючих технологій виробництва  та природоохоронні заходи щодо скорочення викидів забруднюючих речовин не передбачаються.</w:t>
      </w:r>
    </w:p>
    <w:p w:rsidR="006801DC" w:rsidRPr="006801DC" w:rsidRDefault="006801DC" w:rsidP="006801DC">
      <w:pPr>
        <w:autoSpaceDE w:val="0"/>
        <w:autoSpaceDN w:val="0"/>
        <w:rPr>
          <w:lang w:val="uk-UA"/>
        </w:rPr>
      </w:pPr>
      <w:r w:rsidRPr="006801DC">
        <w:rPr>
          <w:color w:val="000000"/>
          <w:lang w:val="uk-UA"/>
        </w:rPr>
        <w:t xml:space="preserve">     Пропозиції щодо дозволених обсягів викидів надані для всіх інших джерел та відповідають законодавству</w:t>
      </w:r>
      <w:r w:rsidRPr="006801DC">
        <w:rPr>
          <w:lang w:val="uk-UA"/>
        </w:rPr>
        <w:t>.</w:t>
      </w:r>
    </w:p>
    <w:p w:rsidR="006801DC" w:rsidRPr="006801DC" w:rsidRDefault="006801DC" w:rsidP="006801DC">
      <w:pPr>
        <w:autoSpaceDE w:val="0"/>
        <w:autoSpaceDN w:val="0"/>
        <w:rPr>
          <w:shd w:val="clear" w:color="auto" w:fill="FFFFFF"/>
          <w:lang w:val="uk-UA"/>
        </w:rPr>
      </w:pPr>
      <w:r w:rsidRPr="006801DC">
        <w:rPr>
          <w:lang w:val="uk-UA"/>
        </w:rPr>
        <w:t xml:space="preserve">     З пропозиціями та зауваженнями щодо діяльності</w:t>
      </w:r>
      <w:r w:rsidRPr="006801DC">
        <w:rPr>
          <w:lang w:val="uk-UA" w:eastAsia="uk-UA"/>
        </w:rPr>
        <w:t xml:space="preserve"> </w:t>
      </w:r>
      <w:r w:rsidRPr="006801DC">
        <w:rPr>
          <w:lang w:val="uk-UA"/>
        </w:rPr>
        <w:t>Готелю «</w:t>
      </w:r>
      <w:proofErr w:type="spellStart"/>
      <w:r w:rsidRPr="006801DC">
        <w:rPr>
          <w:lang w:val="uk-UA"/>
        </w:rPr>
        <w:t>Black</w:t>
      </w:r>
      <w:proofErr w:type="spellEnd"/>
      <w:r w:rsidRPr="006801DC">
        <w:rPr>
          <w:lang w:val="uk-UA"/>
        </w:rPr>
        <w:t xml:space="preserve"> </w:t>
      </w:r>
      <w:proofErr w:type="spellStart"/>
      <w:r w:rsidRPr="006801DC">
        <w:rPr>
          <w:lang w:val="uk-UA"/>
        </w:rPr>
        <w:t>Sea</w:t>
      </w:r>
      <w:proofErr w:type="spellEnd"/>
      <w:r w:rsidRPr="006801DC">
        <w:rPr>
          <w:lang w:val="uk-UA"/>
        </w:rPr>
        <w:t xml:space="preserve"> </w:t>
      </w:r>
      <w:proofErr w:type="spellStart"/>
      <w:r w:rsidRPr="006801DC">
        <w:rPr>
          <w:lang w:val="uk-UA"/>
        </w:rPr>
        <w:t>Central</w:t>
      </w:r>
      <w:proofErr w:type="spellEnd"/>
      <w:r w:rsidRPr="006801DC">
        <w:rPr>
          <w:lang w:val="uk-UA"/>
        </w:rPr>
        <w:t xml:space="preserve">»  (ТОВ «БЛЕК СІ ХОТЕЛ ГРУП») </w:t>
      </w:r>
      <w:r w:rsidRPr="006801DC">
        <w:rPr>
          <w:bCs/>
          <w:lang w:val="uk-UA" w:eastAsia="uk-UA"/>
        </w:rPr>
        <w:t xml:space="preserve"> </w:t>
      </w:r>
      <w:r w:rsidRPr="006801DC">
        <w:rPr>
          <w:lang w:val="uk-UA"/>
        </w:rPr>
        <w:t xml:space="preserve">з питань охорони атмосферного повітря звертатися протягом 30 діб з моменту публікації цього оголошення до </w:t>
      </w:r>
      <w:r w:rsidRPr="006801DC">
        <w:rPr>
          <w:shd w:val="clear" w:color="auto" w:fill="FFFFFF"/>
          <w:lang w:val="uk-UA"/>
        </w:rPr>
        <w:t xml:space="preserve">Одеської обласної державної адміністрації за </w:t>
      </w:r>
      <w:proofErr w:type="spellStart"/>
      <w:r w:rsidRPr="006801DC">
        <w:rPr>
          <w:shd w:val="clear" w:color="auto" w:fill="FFFFFF"/>
          <w:lang w:val="uk-UA"/>
        </w:rPr>
        <w:t>адресою</w:t>
      </w:r>
      <w:proofErr w:type="spellEnd"/>
      <w:r w:rsidRPr="006801DC">
        <w:rPr>
          <w:shd w:val="clear" w:color="auto" w:fill="FFFFFF"/>
          <w:lang w:val="uk-UA"/>
        </w:rPr>
        <w:t xml:space="preserve">: </w:t>
      </w:r>
    </w:p>
    <w:p w:rsidR="006801DC" w:rsidRPr="006801DC" w:rsidRDefault="006801DC" w:rsidP="006801DC">
      <w:pPr>
        <w:autoSpaceDE w:val="0"/>
        <w:autoSpaceDN w:val="0"/>
        <w:rPr>
          <w:shd w:val="clear" w:color="auto" w:fill="FFFFFF"/>
          <w:lang w:val="uk-UA"/>
        </w:rPr>
      </w:pPr>
      <w:r w:rsidRPr="006801DC">
        <w:rPr>
          <w:lang w:val="uk-UA"/>
        </w:rPr>
        <w:t xml:space="preserve">-проспект Шевченка, буд. </w:t>
      </w:r>
      <w:smartTag w:uri="urn:schemas-microsoft-com:office:smarttags" w:element="metricconverter">
        <w:smartTagPr>
          <w:attr w:name="ProductID" w:val="4, м"/>
        </w:smartTagPr>
        <w:r w:rsidRPr="006801DC">
          <w:rPr>
            <w:lang w:val="uk-UA"/>
          </w:rPr>
          <w:t>4, м</w:t>
        </w:r>
      </w:smartTag>
      <w:r w:rsidRPr="006801DC">
        <w:rPr>
          <w:lang w:val="uk-UA"/>
        </w:rPr>
        <w:t xml:space="preserve">. Одеса, 65032, </w:t>
      </w:r>
      <w:proofErr w:type="spellStart"/>
      <w:r w:rsidRPr="006801DC">
        <w:rPr>
          <w:lang w:val="uk-UA"/>
        </w:rPr>
        <w:t>тел</w:t>
      </w:r>
      <w:proofErr w:type="spellEnd"/>
      <w:r w:rsidRPr="006801DC">
        <w:rPr>
          <w:lang w:val="uk-UA"/>
        </w:rPr>
        <w:t xml:space="preserve">./факс </w:t>
      </w:r>
      <w:r w:rsidRPr="006801DC">
        <w:rPr>
          <w:shd w:val="clear" w:color="auto" w:fill="FFFFFF"/>
          <w:lang w:val="uk-UA"/>
        </w:rPr>
        <w:t xml:space="preserve">(0482) 34-29-71, </w:t>
      </w:r>
      <w:proofErr w:type="spellStart"/>
      <w:r w:rsidRPr="006801DC">
        <w:rPr>
          <w:shd w:val="clear" w:color="auto" w:fill="FFFFFF"/>
          <w:lang w:val="uk-UA"/>
        </w:rPr>
        <w:t>тел</w:t>
      </w:r>
      <w:proofErr w:type="spellEnd"/>
      <w:r w:rsidRPr="006801DC">
        <w:rPr>
          <w:shd w:val="clear" w:color="auto" w:fill="FFFFFF"/>
          <w:lang w:val="uk-UA"/>
        </w:rPr>
        <w:t xml:space="preserve">. (048)718-92-47, </w:t>
      </w:r>
    </w:p>
    <w:p w:rsidR="006801DC" w:rsidRPr="006801DC" w:rsidRDefault="006801DC" w:rsidP="006801DC">
      <w:pPr>
        <w:autoSpaceDE w:val="0"/>
        <w:autoSpaceDN w:val="0"/>
        <w:rPr>
          <w:shd w:val="clear" w:color="auto" w:fill="FFFFFF"/>
          <w:lang w:val="uk-UA"/>
        </w:rPr>
      </w:pPr>
      <w:proofErr w:type="gramStart"/>
      <w:r w:rsidRPr="006801DC">
        <w:rPr>
          <w:shd w:val="clear" w:color="auto" w:fill="FFFFFF"/>
          <w:lang w:val="en-US"/>
        </w:rPr>
        <w:t>e</w:t>
      </w:r>
      <w:r w:rsidRPr="006801DC">
        <w:rPr>
          <w:shd w:val="clear" w:color="auto" w:fill="FFFFFF"/>
          <w:lang w:val="uk-UA"/>
        </w:rPr>
        <w:t>-</w:t>
      </w:r>
      <w:r w:rsidRPr="006801DC">
        <w:rPr>
          <w:shd w:val="clear" w:color="auto" w:fill="FFFFFF"/>
          <w:lang w:val="en-US"/>
        </w:rPr>
        <w:t>mail</w:t>
      </w:r>
      <w:proofErr w:type="gramEnd"/>
      <w:r w:rsidRPr="006801DC">
        <w:rPr>
          <w:shd w:val="clear" w:color="auto" w:fill="FFFFFF"/>
          <w:lang w:val="uk-UA"/>
        </w:rPr>
        <w:t xml:space="preserve">: </w:t>
      </w:r>
      <w:hyperlink r:id="rId6" w:history="1">
        <w:r w:rsidRPr="006801DC">
          <w:rPr>
            <w:lang w:val="uk-UA"/>
          </w:rPr>
          <w:t>genotdel@od.gov.ua</w:t>
        </w:r>
      </w:hyperlink>
      <w:r w:rsidRPr="006801DC">
        <w:rPr>
          <w:shd w:val="clear" w:color="auto" w:fill="FFFFFF"/>
          <w:lang w:val="uk-UA"/>
        </w:rPr>
        <w:t>.</w:t>
      </w:r>
    </w:p>
    <w:p w:rsidR="006801DC" w:rsidRPr="009037F7" w:rsidRDefault="006801DC" w:rsidP="00B57279">
      <w:pPr>
        <w:autoSpaceDE w:val="0"/>
        <w:autoSpaceDN w:val="0"/>
        <w:rPr>
          <w:sz w:val="22"/>
          <w:szCs w:val="22"/>
          <w:shd w:val="clear" w:color="auto" w:fill="FFFFFF"/>
          <w:lang w:val="uk-UA"/>
        </w:rPr>
      </w:pPr>
    </w:p>
    <w:p w:rsidR="007E11E6" w:rsidRDefault="007E11E6">
      <w:pPr>
        <w:rPr>
          <w:lang w:val="uk-UA"/>
        </w:rPr>
      </w:pPr>
    </w:p>
    <w:p w:rsidR="00AD71CD" w:rsidRDefault="00AD71CD">
      <w:pPr>
        <w:rPr>
          <w:lang w:val="uk-UA"/>
        </w:rPr>
      </w:pPr>
    </w:p>
    <w:p w:rsidR="00AD71CD" w:rsidRDefault="00AD71CD">
      <w:pPr>
        <w:rPr>
          <w:lang w:val="uk-UA"/>
        </w:rPr>
      </w:pPr>
    </w:p>
    <w:p w:rsidR="00B57279" w:rsidRDefault="00B57279">
      <w:pPr>
        <w:rPr>
          <w:lang w:val="uk-UA"/>
        </w:rPr>
      </w:pPr>
    </w:p>
    <w:p w:rsidR="00B57279" w:rsidRDefault="00B57279">
      <w:pPr>
        <w:rPr>
          <w:lang w:val="uk-UA"/>
        </w:rPr>
      </w:pPr>
    </w:p>
    <w:p w:rsidR="00B57279" w:rsidRDefault="00B57279">
      <w:pPr>
        <w:rPr>
          <w:lang w:val="uk-UA"/>
        </w:rPr>
      </w:pPr>
    </w:p>
    <w:sectPr w:rsidR="00B57279" w:rsidSect="002F1572">
      <w:pgSz w:w="11906" w:h="16838"/>
      <w:pgMar w:top="568"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65"/>
    <w:rsid w:val="00083F24"/>
    <w:rsid w:val="002E1965"/>
    <w:rsid w:val="002F1572"/>
    <w:rsid w:val="00354FBA"/>
    <w:rsid w:val="004D222C"/>
    <w:rsid w:val="005F35EC"/>
    <w:rsid w:val="00676882"/>
    <w:rsid w:val="006801DC"/>
    <w:rsid w:val="00745B9D"/>
    <w:rsid w:val="007E11E6"/>
    <w:rsid w:val="008846EF"/>
    <w:rsid w:val="00895B75"/>
    <w:rsid w:val="009037F7"/>
    <w:rsid w:val="00921F66"/>
    <w:rsid w:val="009E0710"/>
    <w:rsid w:val="009F2732"/>
    <w:rsid w:val="00AD71CD"/>
    <w:rsid w:val="00B57279"/>
    <w:rsid w:val="00C55E13"/>
    <w:rsid w:val="00D6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CB1964-BFA6-4425-826F-CE447561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5E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5F35EC"/>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F35EC"/>
    <w:rPr>
      <w:rFonts w:ascii="Times New Roman" w:eastAsia="Times New Roman" w:hAnsi="Times New Roman" w:cs="Times New Roman"/>
      <w:b/>
      <w:bCs/>
      <w:sz w:val="24"/>
      <w:szCs w:val="24"/>
      <w:lang w:val="uk-UA" w:eastAsia="ru-RU"/>
    </w:rPr>
  </w:style>
  <w:style w:type="character" w:customStyle="1" w:styleId="a3">
    <w:name w:val="Верхний колонтитул Знак"/>
    <w:aliases w:val="Знак Знак6 Знак,Знак Знак Знак Знак Знак Знак2 Знак,Знак Знак6 Знак Знак Знак,Знак Знак6 Знак Знак Знак Знак Знак Знак Знак Знак Знак Знак Знак1,Знак Знак6 Знак Знак Знак Знак Знак Знак Знак Знак Знак Знак Знак Знак"/>
    <w:basedOn w:val="a0"/>
    <w:link w:val="a4"/>
    <w:locked/>
    <w:rsid w:val="005F35EC"/>
  </w:style>
  <w:style w:type="paragraph" w:styleId="a4">
    <w:name w:val="header"/>
    <w:aliases w:val="Знак Знак6,Знак Знак Знак Знак Знак Знак2,Знак Знак6 Знак Знак,Знак Знак6 Знак Знак Знак Знак Знак Знак Знак Знак Знак Знак,Знак Знак6 Знак Знак Знак Знак Знак Знак Знак Знак Знак Знак Знак,Знак Знак, Знак Знак6, Знак Знак"/>
    <w:basedOn w:val="a"/>
    <w:link w:val="a3"/>
    <w:unhideWhenUsed/>
    <w:rsid w:val="005F35EC"/>
    <w:pPr>
      <w:tabs>
        <w:tab w:val="center" w:pos="4153"/>
        <w:tab w:val="right" w:pos="8306"/>
      </w:tabs>
    </w:pPr>
    <w:rPr>
      <w:rFonts w:asciiTheme="minorHAnsi" w:eastAsiaTheme="minorHAnsi" w:hAnsiTheme="minorHAnsi" w:cstheme="minorBidi"/>
      <w:sz w:val="22"/>
      <w:szCs w:val="22"/>
      <w:lang w:eastAsia="en-US"/>
    </w:rPr>
  </w:style>
  <w:style w:type="character" w:customStyle="1" w:styleId="1">
    <w:name w:val="Верхний колонтитул Знак1"/>
    <w:basedOn w:val="a0"/>
    <w:uiPriority w:val="99"/>
    <w:semiHidden/>
    <w:rsid w:val="005F35EC"/>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Знак3 Знак"/>
    <w:basedOn w:val="a0"/>
    <w:link w:val="a6"/>
    <w:semiHidden/>
    <w:locked/>
    <w:rsid w:val="005F35EC"/>
    <w:rPr>
      <w:sz w:val="24"/>
      <w:szCs w:val="24"/>
    </w:rPr>
  </w:style>
  <w:style w:type="paragraph" w:styleId="a6">
    <w:name w:val="Body Text Indent"/>
    <w:aliases w:val="Знак3"/>
    <w:basedOn w:val="a"/>
    <w:link w:val="a5"/>
    <w:semiHidden/>
    <w:unhideWhenUsed/>
    <w:rsid w:val="005F35EC"/>
    <w:pPr>
      <w:spacing w:after="120"/>
      <w:ind w:left="283"/>
    </w:pPr>
    <w:rPr>
      <w:rFonts w:asciiTheme="minorHAnsi" w:eastAsiaTheme="minorHAnsi" w:hAnsiTheme="minorHAnsi" w:cstheme="minorBidi"/>
      <w:lang w:eastAsia="en-US"/>
    </w:rPr>
  </w:style>
  <w:style w:type="character" w:customStyle="1" w:styleId="10">
    <w:name w:val="Основной текст с отступом Знак1"/>
    <w:basedOn w:val="a0"/>
    <w:uiPriority w:val="99"/>
    <w:semiHidden/>
    <w:rsid w:val="005F35EC"/>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5F35EC"/>
    <w:pPr>
      <w:jc w:val="center"/>
    </w:pPr>
    <w:rPr>
      <w:sz w:val="18"/>
      <w:lang w:val="uk-UA"/>
    </w:rPr>
  </w:style>
  <w:style w:type="character" w:customStyle="1" w:styleId="20">
    <w:name w:val="Основной текст 2 Знак"/>
    <w:basedOn w:val="a0"/>
    <w:link w:val="2"/>
    <w:semiHidden/>
    <w:rsid w:val="005F35EC"/>
    <w:rPr>
      <w:rFonts w:ascii="Times New Roman" w:eastAsia="Times New Roman" w:hAnsi="Times New Roman" w:cs="Times New Roman"/>
      <w:sz w:val="18"/>
      <w:szCs w:val="24"/>
      <w:lang w:val="uk-UA" w:eastAsia="ru-RU"/>
    </w:rPr>
  </w:style>
  <w:style w:type="paragraph" w:styleId="a7">
    <w:name w:val="Normal (Web)"/>
    <w:basedOn w:val="a"/>
    <w:uiPriority w:val="99"/>
    <w:semiHidden/>
    <w:unhideWhenUsed/>
    <w:rsid w:val="005F35EC"/>
    <w:pPr>
      <w:spacing w:before="100" w:beforeAutospacing="1" w:after="100" w:afterAutospacing="1"/>
    </w:pPr>
  </w:style>
  <w:style w:type="character" w:styleId="a8">
    <w:name w:val="Hyperlink"/>
    <w:basedOn w:val="a0"/>
    <w:uiPriority w:val="99"/>
    <w:semiHidden/>
    <w:unhideWhenUsed/>
    <w:rsid w:val="005F35EC"/>
    <w:rPr>
      <w:color w:val="0000FF"/>
      <w:u w:val="single"/>
    </w:rPr>
  </w:style>
  <w:style w:type="character" w:styleId="a9">
    <w:name w:val="FollowedHyperlink"/>
    <w:basedOn w:val="a0"/>
    <w:uiPriority w:val="99"/>
    <w:semiHidden/>
    <w:unhideWhenUsed/>
    <w:rsid w:val="005F35EC"/>
    <w:rPr>
      <w:color w:val="954F72" w:themeColor="followedHyperlink"/>
      <w:u w:val="single"/>
    </w:rPr>
  </w:style>
  <w:style w:type="paragraph" w:customStyle="1" w:styleId="aa">
    <w:basedOn w:val="a"/>
    <w:next w:val="ab"/>
    <w:link w:val="ac"/>
    <w:qFormat/>
    <w:rsid w:val="006801DC"/>
    <w:pPr>
      <w:spacing w:line="360" w:lineRule="auto"/>
      <w:ind w:firstLine="709"/>
      <w:jc w:val="center"/>
    </w:pPr>
    <w:rPr>
      <w:rFonts w:asciiTheme="minorHAnsi" w:eastAsiaTheme="minorHAnsi" w:hAnsiTheme="minorHAnsi" w:cstheme="minorBidi"/>
      <w:b/>
      <w:bCs/>
    </w:rPr>
  </w:style>
  <w:style w:type="character" w:customStyle="1" w:styleId="ac">
    <w:name w:val="Название Знак"/>
    <w:link w:val="aa"/>
    <w:rsid w:val="006801DC"/>
    <w:rPr>
      <w:b/>
      <w:bCs/>
      <w:sz w:val="24"/>
      <w:szCs w:val="24"/>
      <w:lang w:val="ru-RU" w:eastAsia="ru-RU" w:bidi="ar-SA"/>
    </w:rPr>
  </w:style>
  <w:style w:type="paragraph" w:styleId="ab">
    <w:name w:val="Title"/>
    <w:basedOn w:val="a"/>
    <w:next w:val="a"/>
    <w:link w:val="11"/>
    <w:uiPriority w:val="10"/>
    <w:qFormat/>
    <w:rsid w:val="006801DC"/>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b"/>
    <w:uiPriority w:val="10"/>
    <w:rsid w:val="006801DC"/>
    <w:rPr>
      <w:rFonts w:asciiTheme="majorHAnsi" w:eastAsiaTheme="majorEastAsia" w:hAnsiTheme="majorHAnsi" w:cstheme="majorBidi"/>
      <w:spacing w:val="-10"/>
      <w:kern w:val="28"/>
      <w:sz w:val="56"/>
      <w:szCs w:val="56"/>
      <w:lang w:eastAsia="ru-RU"/>
    </w:rPr>
  </w:style>
  <w:style w:type="paragraph" w:customStyle="1" w:styleId="CharCharCharChar">
    <w:name w:val="Char Знак Знак Char Знак Знак Char Знак Знак Char Знак Знак"/>
    <w:basedOn w:val="a"/>
    <w:rsid w:val="00676882"/>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0602">
      <w:bodyDiv w:val="1"/>
      <w:marLeft w:val="0"/>
      <w:marRight w:val="0"/>
      <w:marTop w:val="0"/>
      <w:marBottom w:val="0"/>
      <w:divBdr>
        <w:top w:val="none" w:sz="0" w:space="0" w:color="auto"/>
        <w:left w:val="none" w:sz="0" w:space="0" w:color="auto"/>
        <w:bottom w:val="none" w:sz="0" w:space="0" w:color="auto"/>
        <w:right w:val="none" w:sz="0" w:space="0" w:color="auto"/>
      </w:divBdr>
    </w:div>
    <w:div w:id="1351099707">
      <w:bodyDiv w:val="1"/>
      <w:marLeft w:val="0"/>
      <w:marRight w:val="0"/>
      <w:marTop w:val="0"/>
      <w:marBottom w:val="0"/>
      <w:divBdr>
        <w:top w:val="none" w:sz="0" w:space="0" w:color="auto"/>
        <w:left w:val="none" w:sz="0" w:space="0" w:color="auto"/>
        <w:bottom w:val="none" w:sz="0" w:space="0" w:color="auto"/>
        <w:right w:val="none" w:sz="0" w:space="0" w:color="auto"/>
      </w:divBdr>
    </w:div>
    <w:div w:id="1370952334">
      <w:bodyDiv w:val="1"/>
      <w:marLeft w:val="0"/>
      <w:marRight w:val="0"/>
      <w:marTop w:val="0"/>
      <w:marBottom w:val="0"/>
      <w:divBdr>
        <w:top w:val="none" w:sz="0" w:space="0" w:color="auto"/>
        <w:left w:val="none" w:sz="0" w:space="0" w:color="auto"/>
        <w:bottom w:val="none" w:sz="0" w:space="0" w:color="auto"/>
        <w:right w:val="none" w:sz="0" w:space="0" w:color="auto"/>
      </w:divBdr>
    </w:div>
    <w:div w:id="19961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enotdel@od.gov.ua" TargetMode="External"/><Relationship Id="rId5" Type="http://schemas.openxmlformats.org/officeDocument/2006/relationships/hyperlink" Target="https://opendatabot.ua/c/UA511002700100767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E85E-4DDD-4711-97FC-4BF78142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401</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User</cp:lastModifiedBy>
  <cp:revision>19</cp:revision>
  <dcterms:created xsi:type="dcterms:W3CDTF">2024-11-22T17:26:00Z</dcterms:created>
  <dcterms:modified xsi:type="dcterms:W3CDTF">2025-06-02T08:50:00Z</dcterms:modified>
</cp:coreProperties>
</file>