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9C6" w:rsidRPr="00A43579" w:rsidRDefault="00CA69C6" w:rsidP="00CA69C6">
      <w:pPr>
        <w:pStyle w:val="1"/>
        <w:spacing w:line="276" w:lineRule="auto"/>
        <w:jc w:val="center"/>
        <w:rPr>
          <w:b/>
          <w:color w:val="auto"/>
          <w:sz w:val="24"/>
          <w:szCs w:val="24"/>
        </w:rPr>
      </w:pPr>
      <w:r w:rsidRPr="00A43579">
        <w:rPr>
          <w:b/>
          <w:color w:val="auto"/>
          <w:sz w:val="24"/>
          <w:szCs w:val="24"/>
        </w:rPr>
        <w:t>Повідомлення про намір отримати дозвіл на викиди забруднюючих речовин в атмосферне повітря стаціонарними джерелами</w:t>
      </w:r>
    </w:p>
    <w:p w:rsidR="00CA69C6" w:rsidRPr="00A43579" w:rsidRDefault="00CA69C6" w:rsidP="00CA69C6">
      <w:pPr>
        <w:ind w:firstLine="567"/>
        <w:jc w:val="center"/>
        <w:rPr>
          <w:b/>
        </w:rPr>
      </w:pPr>
    </w:p>
    <w:p w:rsidR="00CA69C6" w:rsidRPr="00A43579" w:rsidRDefault="00CA69C6" w:rsidP="00CA69C6">
      <w:pPr>
        <w:spacing w:line="276" w:lineRule="auto"/>
        <w:ind w:firstLine="709"/>
        <w:jc w:val="both"/>
        <w:rPr>
          <w:iCs/>
          <w:lang w:eastAsia="ru-RU"/>
        </w:rPr>
      </w:pPr>
      <w:r w:rsidRPr="00A43579">
        <w:rPr>
          <w:iCs/>
          <w:lang w:eastAsia="ru-RU"/>
        </w:rPr>
        <w:t xml:space="preserve">Товариство з обмеженою відповідальністю </w:t>
      </w:r>
      <w:r w:rsidRPr="00A43579">
        <w:t>«ВАШІ ВІКНА» (ТОВ «ВАШІ ВІКНА»)</w:t>
      </w:r>
      <w:r w:rsidRPr="00A43579">
        <w:rPr>
          <w:iCs/>
          <w:lang w:eastAsia="ru-RU"/>
        </w:rPr>
        <w:t xml:space="preserve"> </w:t>
      </w:r>
      <w:r w:rsidRPr="00A43579">
        <w:t>має намір отримати дозвіл на викиди забруднюючих речовин у атмосферне повітря стаціонарними джерелами.</w:t>
      </w:r>
      <w:r w:rsidRPr="00A43579">
        <w:rPr>
          <w:lang w:eastAsia="ru-RU"/>
        </w:rPr>
        <w:t xml:space="preserve"> </w:t>
      </w:r>
    </w:p>
    <w:p w:rsidR="00CA69C6" w:rsidRPr="00A43579" w:rsidRDefault="00CA69C6" w:rsidP="00CA69C6">
      <w:pPr>
        <w:spacing w:line="276" w:lineRule="auto"/>
        <w:ind w:firstLine="709"/>
        <w:jc w:val="both"/>
        <w:rPr>
          <w:lang w:eastAsia="ru-RU"/>
        </w:rPr>
      </w:pPr>
      <w:r w:rsidRPr="00A43579">
        <w:rPr>
          <w:lang w:eastAsia="ru-RU"/>
        </w:rPr>
        <w:t>Ідентифікаційний код юридичної особи в ЄДРПОУ – 33769271.</w:t>
      </w:r>
    </w:p>
    <w:p w:rsidR="00CA69C6" w:rsidRPr="00A43579" w:rsidRDefault="00CA69C6" w:rsidP="00CA69C6">
      <w:pPr>
        <w:spacing w:line="276" w:lineRule="auto"/>
        <w:ind w:firstLine="709"/>
        <w:jc w:val="both"/>
        <w:rPr>
          <w:lang w:eastAsia="ru-RU"/>
        </w:rPr>
      </w:pPr>
      <w:r w:rsidRPr="00A43579">
        <w:rPr>
          <w:lang w:eastAsia="ru-RU"/>
        </w:rPr>
        <w:t xml:space="preserve">Юридична та поштова адреса: </w:t>
      </w:r>
      <w:r w:rsidRPr="00A43579">
        <w:rPr>
          <w:iCs/>
          <w:lang w:eastAsia="ru-RU"/>
        </w:rPr>
        <w:t xml:space="preserve">Україна, </w:t>
      </w:r>
      <w:r w:rsidRPr="00A43579">
        <w:t>49000 м. Дніпро, вулиця Білостоцьк</w:t>
      </w:r>
      <w:r>
        <w:t>о</w:t>
      </w:r>
      <w:r w:rsidRPr="00A43579">
        <w:t>го, будинок  98</w:t>
      </w:r>
      <w:r w:rsidRPr="00A43579">
        <w:rPr>
          <w:lang w:eastAsia="ru-RU"/>
        </w:rPr>
        <w:t>; контактний номер телефону: +380959313097,  електронна пошта:</w:t>
      </w:r>
      <w:r w:rsidR="000071E6" w:rsidRPr="000071E6">
        <w:rPr>
          <w:lang w:eastAsia="ru-RU"/>
        </w:rPr>
        <w:t xml:space="preserve"> </w:t>
      </w:r>
      <w:r w:rsidR="000071E6" w:rsidRPr="00DF5B2B">
        <w:rPr>
          <w:lang w:eastAsia="ru-RU"/>
        </w:rPr>
        <w:t>0959313097@gmail.com</w:t>
      </w:r>
      <w:r w:rsidRPr="00DF5B2B">
        <w:rPr>
          <w:lang w:eastAsia="ru-RU"/>
        </w:rPr>
        <w:t>.</w:t>
      </w:r>
    </w:p>
    <w:p w:rsidR="00CA69C6" w:rsidRPr="00A43579" w:rsidRDefault="00CA69C6" w:rsidP="00CA69C6">
      <w:pPr>
        <w:spacing w:line="276" w:lineRule="auto"/>
        <w:ind w:firstLine="709"/>
        <w:jc w:val="both"/>
      </w:pPr>
      <w:r w:rsidRPr="00A43579">
        <w:rPr>
          <w:lang w:eastAsia="ru-RU"/>
        </w:rPr>
        <w:t xml:space="preserve">Фактична адреса проммайданчика: </w:t>
      </w:r>
      <w:r w:rsidRPr="00A43579">
        <w:t xml:space="preserve">49000 м. Дніпро, вулиця </w:t>
      </w:r>
      <w:r w:rsidR="00DF5B2B" w:rsidRPr="00E81E24">
        <w:t>Любарського</w:t>
      </w:r>
      <w:r w:rsidRPr="00E81E24">
        <w:t>,</w:t>
      </w:r>
      <w:r w:rsidRPr="00A43579">
        <w:t xml:space="preserve"> будинок  102А.</w:t>
      </w:r>
    </w:p>
    <w:p w:rsidR="00CA69C6" w:rsidRPr="00A43579" w:rsidRDefault="00CA69C6" w:rsidP="00CA69C6">
      <w:pPr>
        <w:spacing w:line="276" w:lineRule="auto"/>
        <w:ind w:firstLine="709"/>
        <w:jc w:val="both"/>
        <w:rPr>
          <w:lang w:eastAsia="ru-RU"/>
        </w:rPr>
      </w:pPr>
      <w:r w:rsidRPr="00A43579">
        <w:rPr>
          <w:lang w:eastAsia="ru-RU"/>
        </w:rPr>
        <w:t>Мета отримання дозволу на викиди: надання права експлуатувати діючий об'єкт, з якого надходять в атмосферне повітря забруднюючі речовини або їх суміші.</w:t>
      </w:r>
    </w:p>
    <w:p w:rsidR="00CA69C6" w:rsidRPr="00A43579" w:rsidRDefault="00CA69C6" w:rsidP="00CA69C6">
      <w:pPr>
        <w:spacing w:line="276" w:lineRule="auto"/>
        <w:ind w:firstLine="709"/>
        <w:jc w:val="both"/>
      </w:pPr>
      <w:r w:rsidRPr="00A43579">
        <w:t>Відповідно до Закону України «Про оцінку впливу на довкілля» господарська діяльність на проммайданчику ТОВ «ВАШІ ВІКНА» не підлягає оцінці впливу на довкілля.</w:t>
      </w:r>
    </w:p>
    <w:p w:rsidR="00CA69C6" w:rsidRPr="00A43579" w:rsidRDefault="00CA69C6" w:rsidP="00CA69C6">
      <w:pPr>
        <w:pStyle w:val="a4"/>
        <w:shd w:val="clear" w:color="auto" w:fill="FFFFFF"/>
        <w:spacing w:after="0"/>
        <w:ind w:left="0" w:firstLine="709"/>
        <w:jc w:val="both"/>
        <w:rPr>
          <w:rFonts w:ascii="Times New Roman" w:eastAsia="Times New Roman" w:hAnsi="Times New Roman" w:cs="Times New Roman"/>
          <w:sz w:val="24"/>
          <w:szCs w:val="24"/>
          <w:lang w:eastAsia="ru-RU"/>
        </w:rPr>
      </w:pPr>
      <w:r w:rsidRPr="00A43579">
        <w:rPr>
          <w:rFonts w:ascii="Times New Roman" w:eastAsia="Times New Roman" w:hAnsi="Times New Roman" w:cs="Times New Roman"/>
          <w:sz w:val="24"/>
          <w:szCs w:val="24"/>
          <w:lang w:eastAsia="ru-RU"/>
        </w:rPr>
        <w:t>На території майданчика розміщується адміністративний блок, побутовий блок,</w:t>
      </w:r>
      <w:r>
        <w:rPr>
          <w:rFonts w:ascii="Times New Roman" w:eastAsia="Times New Roman" w:hAnsi="Times New Roman" w:cs="Times New Roman"/>
          <w:sz w:val="24"/>
          <w:szCs w:val="24"/>
          <w:lang w:eastAsia="ru-RU"/>
        </w:rPr>
        <w:t xml:space="preserve"> </w:t>
      </w:r>
      <w:r w:rsidRPr="00290815">
        <w:rPr>
          <w:rFonts w:ascii="Times New Roman" w:hAnsi="Times New Roman" w:cs="Times New Roman"/>
          <w:sz w:val="24"/>
          <w:szCs w:val="24"/>
          <w:lang w:eastAsia="uk-UA"/>
        </w:rPr>
        <w:t>робочий корпус</w:t>
      </w:r>
      <w:r w:rsidRPr="00A43579">
        <w:rPr>
          <w:rFonts w:ascii="Times New Roman" w:eastAsia="Times New Roman" w:hAnsi="Times New Roman" w:cs="Times New Roman"/>
          <w:sz w:val="24"/>
          <w:szCs w:val="24"/>
          <w:lang w:eastAsia="ru-RU"/>
        </w:rPr>
        <w:t>, складські приміщення.</w:t>
      </w:r>
      <w:bookmarkStart w:id="0" w:name="_GoBack"/>
      <w:bookmarkEnd w:id="0"/>
    </w:p>
    <w:p w:rsidR="00CA69C6" w:rsidRPr="00A43579" w:rsidRDefault="00CA69C6" w:rsidP="00CA69C6">
      <w:pPr>
        <w:spacing w:line="276" w:lineRule="auto"/>
        <w:ind w:firstLine="709"/>
        <w:jc w:val="both"/>
      </w:pPr>
      <w:r>
        <w:t>Для опалення приміщень</w:t>
      </w:r>
      <w:r w:rsidRPr="00A43579">
        <w:t xml:space="preserve"> </w:t>
      </w:r>
      <w:r>
        <w:t>використовується</w:t>
      </w:r>
      <w:r w:rsidRPr="00A43579">
        <w:t xml:space="preserve"> </w:t>
      </w:r>
      <w:r>
        <w:t>паливоспоживаюче</w:t>
      </w:r>
      <w:r w:rsidRPr="00A43579">
        <w:t xml:space="preserve"> обладнання, </w:t>
      </w:r>
      <w:r>
        <w:t>яке</w:t>
      </w:r>
      <w:r w:rsidRPr="00A43579">
        <w:t xml:space="preserve"> явля</w:t>
      </w:r>
      <w:r>
        <w:t>є</w:t>
      </w:r>
      <w:r w:rsidRPr="00A43579">
        <w:t xml:space="preserve">ться джерелами утворення забруднюючих речовин: </w:t>
      </w:r>
      <w:r w:rsidRPr="00A43579">
        <w:rPr>
          <w:lang w:eastAsia="ru-RU"/>
        </w:rPr>
        <w:t xml:space="preserve">твердопаливний котел типу </w:t>
      </w:r>
      <w:r w:rsidRPr="00A43579">
        <w:t>Дракон-Енергія-70 потужністю 70 кВт</w:t>
      </w:r>
      <w:r w:rsidRPr="00A43579">
        <w:rPr>
          <w:lang w:eastAsia="ru-RU"/>
        </w:rPr>
        <w:t xml:space="preserve">, газовий котел </w:t>
      </w:r>
      <w:r w:rsidRPr="00A43579">
        <w:t>Ferroli  типу Pegasus F2 N 85 2S, потужністю 85 кВт</w:t>
      </w:r>
      <w:r w:rsidRPr="00A43579">
        <w:rPr>
          <w:lang w:eastAsia="ru-RU"/>
        </w:rPr>
        <w:t xml:space="preserve">, газовий котел </w:t>
      </w:r>
      <w:r w:rsidRPr="00A43579">
        <w:t>Ferroli  типу Pegasus 56, потужністю 65 кВт</w:t>
      </w:r>
      <w:r w:rsidRPr="00A43579">
        <w:rPr>
          <w:lang w:eastAsia="ru-RU"/>
        </w:rPr>
        <w:t>, 3 інфрачервоних газових опалювальних обігрівача «Геліос» потужністю 40 кВт, 5 інфрачервоних газових опалювальних обігрівач</w:t>
      </w:r>
      <w:r>
        <w:rPr>
          <w:lang w:eastAsia="ru-RU"/>
        </w:rPr>
        <w:t xml:space="preserve">ів </w:t>
      </w:r>
      <w:r w:rsidRPr="00A43579">
        <w:rPr>
          <w:lang w:eastAsia="ru-RU"/>
        </w:rPr>
        <w:t xml:space="preserve"> ДВМ25 номінальною тепловою потужністю 100 кВт</w:t>
      </w:r>
      <w:r>
        <w:rPr>
          <w:lang w:eastAsia="ru-RU"/>
        </w:rPr>
        <w:t>.</w:t>
      </w:r>
      <w:r w:rsidRPr="00A43579">
        <w:rPr>
          <w:lang w:eastAsia="ru-RU"/>
        </w:rPr>
        <w:t xml:space="preserve"> </w:t>
      </w:r>
    </w:p>
    <w:p w:rsidR="00CA69C6" w:rsidRPr="00A43579" w:rsidRDefault="00CA69C6" w:rsidP="00CA69C6">
      <w:pPr>
        <w:spacing w:line="276" w:lineRule="auto"/>
        <w:ind w:firstLine="709"/>
        <w:jc w:val="both"/>
        <w:rPr>
          <w:lang w:eastAsia="ru-RU"/>
        </w:rPr>
      </w:pPr>
      <w:r w:rsidRPr="00A43579">
        <w:rPr>
          <w:lang w:eastAsia="ru-RU"/>
        </w:rPr>
        <w:t xml:space="preserve">На майданчику розміщується </w:t>
      </w:r>
      <w:r>
        <w:rPr>
          <w:lang w:eastAsia="ru-RU"/>
        </w:rPr>
        <w:t>12</w:t>
      </w:r>
      <w:r w:rsidRPr="00A43579">
        <w:rPr>
          <w:lang w:eastAsia="ru-RU"/>
        </w:rPr>
        <w:t xml:space="preserve"> стаціонарних джерел викиду (з них 11 – організованих джерел та </w:t>
      </w:r>
      <w:r>
        <w:rPr>
          <w:lang w:eastAsia="ru-RU"/>
        </w:rPr>
        <w:t>1</w:t>
      </w:r>
      <w:r w:rsidRPr="00A43579">
        <w:rPr>
          <w:lang w:eastAsia="ru-RU"/>
        </w:rPr>
        <w:t xml:space="preserve"> – неорганізован</w:t>
      </w:r>
      <w:r>
        <w:rPr>
          <w:lang w:eastAsia="ru-RU"/>
        </w:rPr>
        <w:t>е</w:t>
      </w:r>
      <w:r w:rsidRPr="00A43579">
        <w:rPr>
          <w:lang w:eastAsia="ru-RU"/>
        </w:rPr>
        <w:t>).</w:t>
      </w:r>
    </w:p>
    <w:p w:rsidR="00CA69C6" w:rsidRPr="00A43579" w:rsidRDefault="00CA69C6" w:rsidP="00CA69C6">
      <w:pPr>
        <w:shd w:val="clear" w:color="auto" w:fill="FFFFFF"/>
        <w:spacing w:line="276" w:lineRule="auto"/>
        <w:ind w:firstLine="709"/>
        <w:jc w:val="both"/>
      </w:pPr>
      <w:r w:rsidRPr="00A43579">
        <w:t>Річна кількість викидів забруднюючих речовин становить 39,1</w:t>
      </w:r>
      <w:r>
        <w:t>12</w:t>
      </w:r>
      <w:r w:rsidRPr="00A43579">
        <w:t xml:space="preserve"> т, у тому числі парникові гази (38,433 т): вуглеводні насичені C</w:t>
      </w:r>
      <w:r w:rsidRPr="00A43579">
        <w:rPr>
          <w:vertAlign w:val="subscript"/>
        </w:rPr>
        <w:t>12</w:t>
      </w:r>
      <w:r w:rsidRPr="00A43579">
        <w:t>-C</w:t>
      </w:r>
      <w:r w:rsidRPr="00A43579">
        <w:rPr>
          <w:vertAlign w:val="subscript"/>
        </w:rPr>
        <w:t>19</w:t>
      </w:r>
      <w:r w:rsidRPr="00A43579">
        <w:t xml:space="preserve"> (розчинник РПК-26511 та ін.) у перерахунку на сумарний органічний вуглець – 0,008 т/рік, речовини у вигляді суспендованих твердих частинок недиференційованих за складом - 0,5</w:t>
      </w:r>
      <w:r>
        <w:t xml:space="preserve">41 </w:t>
      </w:r>
      <w:r w:rsidRPr="00A43579">
        <w:t>т/рік, оксиди азоту (оксид та діоксид азоту) у перерахунку на діоксид азоту - 0,076 т/рік, оксид вуглецю – 0,054 т/рік, вуглецю діоксид – 38,431 т/рік, азоту (1) оксид (N</w:t>
      </w:r>
      <w:r w:rsidRPr="00A43579">
        <w:rPr>
          <w:vertAlign w:val="subscript"/>
        </w:rPr>
        <w:t>2</w:t>
      </w:r>
      <w:r w:rsidRPr="00A43579">
        <w:t xml:space="preserve">O) - 0,0008 т/рік. </w:t>
      </w:r>
    </w:p>
    <w:p w:rsidR="00CA69C6" w:rsidRPr="00A43579" w:rsidRDefault="00CA69C6" w:rsidP="00CA69C6">
      <w:pPr>
        <w:shd w:val="clear" w:color="auto" w:fill="FFFFFF"/>
        <w:spacing w:line="276" w:lineRule="auto"/>
        <w:ind w:firstLine="709"/>
        <w:jc w:val="both"/>
      </w:pPr>
      <w:r w:rsidRPr="00A43579">
        <w:t>Викиди забруднюючих речовин знаходяться в межах гранично-допустимих норм.</w:t>
      </w:r>
    </w:p>
    <w:p w:rsidR="00CA69C6" w:rsidRPr="00A43579" w:rsidRDefault="00CA69C6" w:rsidP="00CA69C6">
      <w:pPr>
        <w:shd w:val="clear" w:color="auto" w:fill="FFFFFF"/>
        <w:spacing w:line="276" w:lineRule="auto"/>
        <w:ind w:firstLine="709"/>
        <w:jc w:val="both"/>
      </w:pPr>
      <w:r w:rsidRPr="00A43579">
        <w:t>Відповідно до статті 11 Закону України «Про охорону атмосферного повітря», даний об’єкт належить до третьої групи по ступеню впливу на забруднення атмосферного повітря. На майданчику ТОВ «ВАШІ ВІКНА»  немає виробництва чи технологічного устаткування, на яких повинні впроваджуватися найкращі доступні технології та методи керування.</w:t>
      </w:r>
    </w:p>
    <w:p w:rsidR="00CA69C6" w:rsidRPr="00A43579" w:rsidRDefault="00CA69C6" w:rsidP="00CA69C6">
      <w:pPr>
        <w:shd w:val="clear" w:color="auto" w:fill="FFFFFF"/>
        <w:spacing w:line="276" w:lineRule="auto"/>
        <w:ind w:firstLine="709"/>
        <w:jc w:val="both"/>
      </w:pPr>
      <w:r w:rsidRPr="00A43579">
        <w:t>На об’єкті підприємства не планується впровадження заходів щодо скорочення викидів забруднюючих речовин в атмосферне повітря, тому що на даний час немає перевищень встановлених нормативів граничнодопустимих викидів забруднюючих речовин.</w:t>
      </w:r>
    </w:p>
    <w:p w:rsidR="00CA69C6" w:rsidRPr="00A43579" w:rsidRDefault="00CA69C6" w:rsidP="00CA69C6">
      <w:pPr>
        <w:shd w:val="clear" w:color="auto" w:fill="FFFFFF"/>
        <w:spacing w:line="276" w:lineRule="auto"/>
        <w:ind w:firstLine="709"/>
        <w:jc w:val="both"/>
      </w:pPr>
      <w:r w:rsidRPr="00A43579">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rsidR="00CA69C6" w:rsidRPr="00CA69C6" w:rsidRDefault="00CA69C6" w:rsidP="00CA69C6">
      <w:pPr>
        <w:pStyle w:val="a4"/>
        <w:shd w:val="clear" w:color="auto" w:fill="FFFFFF"/>
        <w:spacing w:after="0"/>
        <w:ind w:left="0" w:firstLine="709"/>
        <w:jc w:val="both"/>
        <w:textAlignment w:val="baseline"/>
        <w:rPr>
          <w:rFonts w:ascii="Times New Roman" w:eastAsia="Times New Roman" w:hAnsi="Times New Roman" w:cs="Times New Roman"/>
          <w:sz w:val="24"/>
          <w:szCs w:val="24"/>
          <w:lang w:eastAsia="ru-RU"/>
        </w:rPr>
      </w:pPr>
      <w:r w:rsidRPr="00A43579">
        <w:rPr>
          <w:rFonts w:ascii="Times New Roman" w:hAnsi="Times New Roman" w:cs="Times New Roman"/>
          <w:sz w:val="24"/>
          <w:szCs w:val="24"/>
        </w:rPr>
        <w:lastRenderedPageBreak/>
        <w:t>Зауваження та пропозиції громадських організацій та окремих громадян щодо наміру отримання Дозволу можна надсила</w:t>
      </w:r>
      <w:r>
        <w:rPr>
          <w:rFonts w:ascii="Times New Roman" w:hAnsi="Times New Roman" w:cs="Times New Roman"/>
          <w:sz w:val="24"/>
          <w:szCs w:val="24"/>
        </w:rPr>
        <w:t>ти протягом 30 календарних днів</w:t>
      </w:r>
      <w:r w:rsidRPr="00A43579">
        <w:rPr>
          <w:rFonts w:ascii="Times New Roman" w:hAnsi="Times New Roman" w:cs="Times New Roman"/>
          <w:sz w:val="24"/>
          <w:szCs w:val="24"/>
        </w:rPr>
        <w:t xml:space="preserve"> з дня опублікування цього повідомлення до Дніпропетровської обласної державної адміністрації за адресою: 4900</w:t>
      </w:r>
      <w:r>
        <w:rPr>
          <w:rFonts w:ascii="Times New Roman" w:hAnsi="Times New Roman" w:cs="Times New Roman"/>
          <w:sz w:val="24"/>
          <w:szCs w:val="24"/>
        </w:rPr>
        <w:t>4</w:t>
      </w:r>
      <w:r w:rsidRPr="00A43579">
        <w:rPr>
          <w:rFonts w:ascii="Times New Roman" w:hAnsi="Times New Roman" w:cs="Times New Roman"/>
          <w:sz w:val="24"/>
          <w:szCs w:val="24"/>
        </w:rPr>
        <w:t xml:space="preserve">, </w:t>
      </w:r>
      <w:proofErr w:type="spellStart"/>
      <w:r w:rsidRPr="00A43579">
        <w:rPr>
          <w:rFonts w:ascii="Times New Roman" w:hAnsi="Times New Roman" w:cs="Times New Roman"/>
          <w:sz w:val="24"/>
          <w:szCs w:val="24"/>
        </w:rPr>
        <w:t>м.Дніпро</w:t>
      </w:r>
      <w:proofErr w:type="spellEnd"/>
      <w:r w:rsidRPr="00A43579">
        <w:rPr>
          <w:rFonts w:ascii="Times New Roman" w:hAnsi="Times New Roman" w:cs="Times New Roman"/>
          <w:sz w:val="24"/>
          <w:szCs w:val="24"/>
          <w:lang w:eastAsia="ru-RU"/>
        </w:rPr>
        <w:t>,</w:t>
      </w:r>
      <w:r w:rsidRPr="00A43579">
        <w:rPr>
          <w:rFonts w:ascii="Times New Roman" w:hAnsi="Times New Roman" w:cs="Times New Roman"/>
          <w:sz w:val="24"/>
          <w:szCs w:val="24"/>
        </w:rPr>
        <w:t xml:space="preserve"> </w:t>
      </w:r>
      <w:hyperlink r:id="rId5" w:tgtFrame="_blank" w:history="1">
        <w:r w:rsidRPr="00A43579">
          <w:rPr>
            <w:rFonts w:ascii="Times New Roman" w:eastAsia="Times New Roman" w:hAnsi="Times New Roman" w:cs="Times New Roman"/>
            <w:bCs/>
            <w:sz w:val="24"/>
            <w:szCs w:val="24"/>
            <w:bdr w:val="none" w:sz="0" w:space="0" w:color="auto" w:frame="1"/>
            <w:lang w:eastAsia="ru-RU"/>
          </w:rPr>
          <w:t xml:space="preserve">проспект О.Поля, 1, </w:t>
        </w:r>
      </w:hyperlink>
      <w:r w:rsidRPr="00A4357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тел</w:t>
      </w:r>
      <w:r w:rsidRPr="00CA69C6">
        <w:rPr>
          <w:rFonts w:ascii="Times New Roman" w:hAnsi="Times New Roman" w:cs="Times New Roman"/>
          <w:sz w:val="24"/>
          <w:szCs w:val="24"/>
          <w:lang w:eastAsia="ru-RU"/>
        </w:rPr>
        <w:t xml:space="preserve">. </w:t>
      </w:r>
      <w:hyperlink r:id="rId6" w:history="1">
        <w:r w:rsidRPr="00CA69C6">
          <w:rPr>
            <w:rStyle w:val="a3"/>
            <w:rFonts w:ascii="Times New Roman" w:eastAsia="Times New Roman" w:hAnsi="Times New Roman"/>
            <w:bCs/>
            <w:color w:val="auto"/>
            <w:sz w:val="24"/>
            <w:szCs w:val="24"/>
            <w:u w:val="none"/>
            <w:bdr w:val="none" w:sz="0" w:space="0" w:color="auto" w:frame="1"/>
            <w:lang w:eastAsia="ru-RU"/>
          </w:rPr>
          <w:t>+38 (056) 742-89-80</w:t>
        </w:r>
      </w:hyperlink>
      <w:r w:rsidRPr="00CA69C6">
        <w:rPr>
          <w:rFonts w:ascii="Times New Roman" w:hAnsi="Times New Roman" w:cs="Times New Roman"/>
          <w:sz w:val="24"/>
          <w:szCs w:val="24"/>
          <w:lang w:eastAsia="ru-RU"/>
        </w:rPr>
        <w:t xml:space="preserve">, або на електронну пошту: </w:t>
      </w:r>
      <w:hyperlink r:id="rId7" w:history="1">
        <w:r w:rsidRPr="00CA69C6">
          <w:rPr>
            <w:rStyle w:val="a3"/>
            <w:rFonts w:ascii="Times New Roman" w:eastAsia="Times New Roman" w:hAnsi="Times New Roman"/>
            <w:bCs/>
            <w:color w:val="auto"/>
            <w:sz w:val="24"/>
            <w:szCs w:val="24"/>
            <w:u w:val="none"/>
            <w:bdr w:val="none" w:sz="0" w:space="0" w:color="auto" w:frame="1"/>
            <w:lang w:val="en-US" w:eastAsia="ru-RU"/>
          </w:rPr>
          <w:t>info</w:t>
        </w:r>
        <w:r w:rsidRPr="00CA69C6">
          <w:rPr>
            <w:rStyle w:val="a3"/>
            <w:rFonts w:ascii="Times New Roman" w:eastAsia="Times New Roman" w:hAnsi="Times New Roman"/>
            <w:bCs/>
            <w:color w:val="auto"/>
            <w:sz w:val="24"/>
            <w:szCs w:val="24"/>
            <w:u w:val="none"/>
            <w:bdr w:val="none" w:sz="0" w:space="0" w:color="auto" w:frame="1"/>
            <w:lang w:eastAsia="ru-RU"/>
          </w:rPr>
          <w:t>@</w:t>
        </w:r>
        <w:proofErr w:type="spellStart"/>
        <w:r w:rsidRPr="00CA69C6">
          <w:rPr>
            <w:rStyle w:val="a3"/>
            <w:rFonts w:ascii="Times New Roman" w:eastAsia="Times New Roman" w:hAnsi="Times New Roman"/>
            <w:bCs/>
            <w:color w:val="auto"/>
            <w:sz w:val="24"/>
            <w:szCs w:val="24"/>
            <w:u w:val="none"/>
            <w:bdr w:val="none" w:sz="0" w:space="0" w:color="auto" w:frame="1"/>
            <w:lang w:eastAsia="ru-RU"/>
          </w:rPr>
          <w:t>adm.dp.gov.ua</w:t>
        </w:r>
        <w:proofErr w:type="spellEnd"/>
      </w:hyperlink>
      <w:r w:rsidRPr="00CA69C6">
        <w:rPr>
          <w:rFonts w:ascii="Times New Roman" w:eastAsia="Times New Roman" w:hAnsi="Times New Roman" w:cs="Times New Roman"/>
          <w:bCs/>
          <w:sz w:val="24"/>
          <w:szCs w:val="24"/>
          <w:bdr w:val="none" w:sz="0" w:space="0" w:color="auto" w:frame="1"/>
          <w:lang w:eastAsia="ru-RU"/>
        </w:rPr>
        <w:t>.</w:t>
      </w:r>
    </w:p>
    <w:p w:rsidR="00CA69C6" w:rsidRPr="00CA69C6" w:rsidRDefault="00CA69C6" w:rsidP="00CA69C6">
      <w:pPr>
        <w:spacing w:line="276" w:lineRule="auto"/>
        <w:ind w:firstLine="709"/>
      </w:pPr>
    </w:p>
    <w:p w:rsidR="00407329" w:rsidRDefault="00407329"/>
    <w:sectPr w:rsidR="00407329" w:rsidSect="00CA69C6">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9C6"/>
    <w:rsid w:val="000071E6"/>
    <w:rsid w:val="00183F93"/>
    <w:rsid w:val="00341E2B"/>
    <w:rsid w:val="00407329"/>
    <w:rsid w:val="00594318"/>
    <w:rsid w:val="005A2206"/>
    <w:rsid w:val="00781734"/>
    <w:rsid w:val="008A4DEB"/>
    <w:rsid w:val="00B43E5D"/>
    <w:rsid w:val="00CA69C6"/>
    <w:rsid w:val="00DF5B2B"/>
    <w:rsid w:val="00E7418F"/>
    <w:rsid w:val="00E81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9C6"/>
    <w:pPr>
      <w:spacing w:after="0" w:line="240" w:lineRule="auto"/>
    </w:pPr>
    <w:rPr>
      <w:rFonts w:ascii="Times New Roman" w:eastAsia="Times New Roman" w:hAnsi="Times New Roman" w:cs="Times New Roman"/>
      <w:noProof/>
      <w:sz w:val="24"/>
      <w:szCs w:val="24"/>
      <w:lang w:val="uk-UA"/>
    </w:rPr>
  </w:style>
  <w:style w:type="paragraph" w:styleId="1">
    <w:name w:val="heading 1"/>
    <w:basedOn w:val="a"/>
    <w:next w:val="a"/>
    <w:link w:val="10"/>
    <w:uiPriority w:val="9"/>
    <w:qFormat/>
    <w:rsid w:val="00CA69C6"/>
    <w:pPr>
      <w:keepNext/>
      <w:tabs>
        <w:tab w:val="left" w:pos="1080"/>
      </w:tabs>
      <w:spacing w:line="360" w:lineRule="auto"/>
      <w:jc w:val="both"/>
      <w:outlineLvl w:val="0"/>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69C6"/>
    <w:rPr>
      <w:rFonts w:ascii="Times New Roman" w:eastAsia="Times New Roman" w:hAnsi="Times New Roman" w:cs="Times New Roman"/>
      <w:noProof/>
      <w:color w:val="000000"/>
      <w:sz w:val="28"/>
      <w:szCs w:val="28"/>
      <w:lang w:val="uk-UA"/>
    </w:rPr>
  </w:style>
  <w:style w:type="character" w:styleId="a3">
    <w:name w:val="Hyperlink"/>
    <w:basedOn w:val="a0"/>
    <w:uiPriority w:val="99"/>
    <w:rsid w:val="00CA69C6"/>
    <w:rPr>
      <w:rFonts w:cs="Times New Roman"/>
      <w:color w:val="0000FF"/>
      <w:u w:val="single"/>
    </w:rPr>
  </w:style>
  <w:style w:type="paragraph" w:styleId="a4">
    <w:name w:val="List Paragraph"/>
    <w:basedOn w:val="a"/>
    <w:link w:val="a5"/>
    <w:uiPriority w:val="34"/>
    <w:qFormat/>
    <w:rsid w:val="00CA69C6"/>
    <w:pPr>
      <w:spacing w:after="200" w:line="276" w:lineRule="auto"/>
      <w:ind w:left="720"/>
      <w:contextualSpacing/>
    </w:pPr>
    <w:rPr>
      <w:rFonts w:asciiTheme="minorHAnsi" w:eastAsiaTheme="minorHAnsi" w:hAnsiTheme="minorHAnsi" w:cstheme="minorBidi"/>
      <w:noProof w:val="0"/>
      <w:sz w:val="22"/>
      <w:szCs w:val="22"/>
    </w:rPr>
  </w:style>
  <w:style w:type="character" w:customStyle="1" w:styleId="a5">
    <w:name w:val="Абзац списка Знак"/>
    <w:link w:val="a4"/>
    <w:uiPriority w:val="34"/>
    <w:locked/>
    <w:rsid w:val="00CA69C6"/>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9C6"/>
    <w:pPr>
      <w:spacing w:after="0" w:line="240" w:lineRule="auto"/>
    </w:pPr>
    <w:rPr>
      <w:rFonts w:ascii="Times New Roman" w:eastAsia="Times New Roman" w:hAnsi="Times New Roman" w:cs="Times New Roman"/>
      <w:noProof/>
      <w:sz w:val="24"/>
      <w:szCs w:val="24"/>
      <w:lang w:val="uk-UA"/>
    </w:rPr>
  </w:style>
  <w:style w:type="paragraph" w:styleId="1">
    <w:name w:val="heading 1"/>
    <w:basedOn w:val="a"/>
    <w:next w:val="a"/>
    <w:link w:val="10"/>
    <w:uiPriority w:val="9"/>
    <w:qFormat/>
    <w:rsid w:val="00CA69C6"/>
    <w:pPr>
      <w:keepNext/>
      <w:tabs>
        <w:tab w:val="left" w:pos="1080"/>
      </w:tabs>
      <w:spacing w:line="360" w:lineRule="auto"/>
      <w:jc w:val="both"/>
      <w:outlineLvl w:val="0"/>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69C6"/>
    <w:rPr>
      <w:rFonts w:ascii="Times New Roman" w:eastAsia="Times New Roman" w:hAnsi="Times New Roman" w:cs="Times New Roman"/>
      <w:noProof/>
      <w:color w:val="000000"/>
      <w:sz w:val="28"/>
      <w:szCs w:val="28"/>
      <w:lang w:val="uk-UA"/>
    </w:rPr>
  </w:style>
  <w:style w:type="character" w:styleId="a3">
    <w:name w:val="Hyperlink"/>
    <w:basedOn w:val="a0"/>
    <w:uiPriority w:val="99"/>
    <w:rsid w:val="00CA69C6"/>
    <w:rPr>
      <w:rFonts w:cs="Times New Roman"/>
      <w:color w:val="0000FF"/>
      <w:u w:val="single"/>
    </w:rPr>
  </w:style>
  <w:style w:type="paragraph" w:styleId="a4">
    <w:name w:val="List Paragraph"/>
    <w:basedOn w:val="a"/>
    <w:link w:val="a5"/>
    <w:uiPriority w:val="34"/>
    <w:qFormat/>
    <w:rsid w:val="00CA69C6"/>
    <w:pPr>
      <w:spacing w:after="200" w:line="276" w:lineRule="auto"/>
      <w:ind w:left="720"/>
      <w:contextualSpacing/>
    </w:pPr>
    <w:rPr>
      <w:rFonts w:asciiTheme="minorHAnsi" w:eastAsiaTheme="minorHAnsi" w:hAnsiTheme="minorHAnsi" w:cstheme="minorBidi"/>
      <w:noProof w:val="0"/>
      <w:sz w:val="22"/>
      <w:szCs w:val="22"/>
    </w:rPr>
  </w:style>
  <w:style w:type="character" w:customStyle="1" w:styleId="a5">
    <w:name w:val="Абзац списка Знак"/>
    <w:link w:val="a4"/>
    <w:uiPriority w:val="34"/>
    <w:locked/>
    <w:rsid w:val="00CA69C6"/>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dm.dp.gov.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38%20(056)%20742-89-80" TargetMode="External"/><Relationship Id="rId5" Type="http://schemas.openxmlformats.org/officeDocument/2006/relationships/hyperlink" Target="https://www.google.com/maps/place/%D0%BF%D1%80%D0%BE%D1%81%D0%BF.+%D0%90%D0%BB%D0%B5%D0%BA%D1%81%D0%B0%D0%BD%D0%B4%D1%80%D0%B0+%D0%9F%D0%BE%D0%BB%D1%8F,+1,+%D0%94%D0%BD%D0%B8%D0%BF%D1%80%D0%BE,+%D0%94%D0%BD%D0%B5%D0%BF%D1%80%D0%BE%D0%BF%D0%B5%D1%82%D1%80%D0%BE%D0%B2%D1%81%D0%BA%D0%B0%D1%8F+%D0%BE%D0%B1%D0%BB%D0%B0%D1%81%D1%82%D1%8C,+49000/@48.4666696,35.0282478,17z/data=!3m1!4b1!4m5!3m4!1s0x40dbe2e35795c2eb:0x4ec28a37ad5d52ed!8m2!3d48.4666696!4d35.030436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641</Words>
  <Characters>3655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2025-08-08T08:45:00Z</dcterms:created>
  <dcterms:modified xsi:type="dcterms:W3CDTF">2025-08-14T12:54:00Z</dcterms:modified>
</cp:coreProperties>
</file>