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0229" w14:textId="77777777" w:rsidR="00184514" w:rsidRPr="00184514" w:rsidRDefault="00184514" w:rsidP="00184514">
      <w:pPr>
        <w:pStyle w:val="af"/>
        <w:widowControl/>
        <w:tabs>
          <w:tab w:val="left" w:pos="3780"/>
        </w:tabs>
        <w:spacing w:line="360" w:lineRule="auto"/>
        <w:ind w:left="5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14">
        <w:rPr>
          <w:rFonts w:ascii="Times New Roman" w:hAnsi="Times New Roman" w:cs="Times New Roman"/>
          <w:b/>
          <w:sz w:val="28"/>
          <w:szCs w:val="28"/>
        </w:rPr>
        <w:t>Повідомлення про намір отримати дозвіл на викиди забруднюючих речовин в атмосферне повітря</w:t>
      </w:r>
    </w:p>
    <w:p w14:paraId="216DD91B" w14:textId="77777777" w:rsidR="00184514" w:rsidRPr="00184514" w:rsidRDefault="00184514" w:rsidP="00184514">
      <w:pPr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Повне та скорочене найменування об’єкта: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184514">
        <w:rPr>
          <w:sz w:val="24"/>
          <w:szCs w:val="24"/>
        </w:rPr>
        <w:t xml:space="preserve">Товариство з обмеженою відповідальністю «Узлісся» 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(ТзОВ </w:t>
      </w:r>
      <w:r w:rsidRPr="00184514">
        <w:rPr>
          <w:sz w:val="24"/>
          <w:szCs w:val="24"/>
        </w:rPr>
        <w:t>«Узлісся»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>).</w:t>
      </w:r>
    </w:p>
    <w:p w14:paraId="0E2E9E1A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Код ЄДРПОУ</w:t>
      </w:r>
      <w:r w:rsidRPr="00184514">
        <w:rPr>
          <w:rFonts w:eastAsia="MS Mincho"/>
          <w:b/>
          <w:bCs/>
          <w:iCs/>
          <w:noProof/>
          <w:sz w:val="24"/>
          <w:szCs w:val="24"/>
          <w:lang w:eastAsia="en-US"/>
        </w:rPr>
        <w:t>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184514">
        <w:rPr>
          <w:color w:val="000000"/>
          <w:sz w:val="23"/>
          <w:szCs w:val="23"/>
        </w:rPr>
        <w:t>32568069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2D741540" w14:textId="77777777" w:rsidR="00184514" w:rsidRPr="00184514" w:rsidRDefault="00184514" w:rsidP="00184514">
      <w:pPr>
        <w:suppressAutoHyphens/>
        <w:jc w:val="both"/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184514">
        <w:rPr>
          <w:rFonts w:eastAsia="MS Mincho"/>
          <w:b/>
          <w:bCs/>
          <w:iCs/>
          <w:noProof/>
          <w:sz w:val="24"/>
          <w:szCs w:val="24"/>
          <w:lang w:eastAsia="en-US"/>
        </w:rPr>
        <w:t>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81224, Львівська область, Львівський район, село Стрілки, вулиця Парк Країна Едем буд.1., +380326341658, </w:t>
      </w:r>
      <w:hyperlink r:id="rId4" w:history="1">
        <w:r w:rsidRPr="00184514">
          <w:rPr>
            <w:rStyle w:val="af0"/>
            <w:sz w:val="24"/>
            <w:szCs w:val="24"/>
            <w:u w:val="none"/>
          </w:rPr>
          <w:t>acc_ca@edem.com.ua</w:t>
        </w:r>
      </w:hyperlink>
      <w:r w:rsidRPr="00184514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59600EDE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val="ru-RU"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Місцезнаходження об’єкта / промислового майданчика</w:t>
      </w:r>
      <w:r w:rsidRPr="00184514">
        <w:rPr>
          <w:rFonts w:eastAsia="MS Mincho"/>
          <w:b/>
          <w:bCs/>
          <w:iCs/>
          <w:noProof/>
          <w:sz w:val="24"/>
          <w:szCs w:val="24"/>
          <w:lang w:eastAsia="en-US"/>
        </w:rPr>
        <w:t>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81224, Львівська область, Львівський район, село Стрілки, вулиця Парк Країна Едем буд.1</w:t>
      </w:r>
      <w:r w:rsidRPr="00184514">
        <w:rPr>
          <w:rFonts w:eastAsia="MS Mincho"/>
          <w:iCs/>
          <w:noProof/>
          <w:sz w:val="24"/>
          <w:szCs w:val="24"/>
          <w:lang w:val="ru-RU" w:eastAsia="en-US"/>
        </w:rPr>
        <w:t>.</w:t>
      </w:r>
    </w:p>
    <w:p w14:paraId="55273396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Мета отримання дозволу на викиди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>: отримання дозволу для існуючого об’єкта, що має дозвіл на викиди, а саме у зв’язку зі змінами, що відбулися на підприємстві.</w:t>
      </w:r>
    </w:p>
    <w:p w14:paraId="5BF2F2A2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Відомості про наявність висновку з оцінки впливу на довкілля</w:t>
      </w:r>
      <w:r w:rsidRPr="00184514">
        <w:rPr>
          <w:rFonts w:eastAsia="MS Mincho"/>
          <w:b/>
          <w:bCs/>
          <w:iCs/>
          <w:noProof/>
          <w:sz w:val="24"/>
          <w:szCs w:val="24"/>
          <w:lang w:eastAsia="en-US"/>
        </w:rPr>
        <w:t>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відповідно до частин 2 і 3 Статті 3 Закону України «Про оцінку впливу на довкілля», виробнича діяльність ТзОВ </w:t>
      </w:r>
      <w:r w:rsidRPr="00184514">
        <w:rPr>
          <w:sz w:val="24"/>
          <w:szCs w:val="24"/>
        </w:rPr>
        <w:t>«Узлісся»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не підлягає оцінці впливу на довкілля.</w:t>
      </w:r>
    </w:p>
    <w:p w14:paraId="12531555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Загальний опис об’єкта: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підприємство займається здаванням в оренду власного чи орендованого нерухомого майна. На підприємстві розміщено: котельня, паливна, тераса, кухня, будівлі та споруди для відпочину та розміщення гостей, інші допоміжні споруди. Для обігріву приміщень та кімнат відпочинку передбачена котельня в якій встановлено два газових котли типу «Viessman Vitoplex 10 Sx1», Для обігріву приміщень бенкетного залу «Grand Hall» передбачена котельня в якій встановлено два газових котли типу «КОЛВІ». Для обігріву приміщень громадської будівлі Б1 (Клубний будинок) передбачена паливна в якій встановлено твердопаливний котел типу «PETRA», що працює на дровах. Для забезпечення харчуванням персоналу та проживаючих гостей передбачена кухня в якій встановлені газові плити фірми Apach. Для приготування швидких гарячих страв передбачена кухня тераси в якій встановлені газові плити фірми Apach. Як додатковий вид забезпечення електроенергією при аварійному відключенні основного джерела електропостачання використовується бензиновий генератор «Dnipro-M GX-60E». На майданчику розміщення дизель-генераторів для забезпечення електроенергією бенкетного залу «Grand Hall», котелень та насосів для води при аварійному відключенні основного джерела електропостачання використовується дизельний генератор «AKSA APD135A». На майданчику розміщення дизель-генераторів для забезпечення електроенергією будівель та споруд підприємства при аварійному відключенні основного джерела електропостачання використовується дизельний генератор «SDMO». Для обігріву приміщень та кімнат відпочинку передбачена котельня в якій встановлено твердопаливний котел типу «РОЄК».</w:t>
      </w:r>
    </w:p>
    <w:p w14:paraId="1866279C" w14:textId="77777777" w:rsidR="00184514" w:rsidRPr="00184514" w:rsidRDefault="00184514" w:rsidP="00184514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Відомомсті, щодо видів та обсягів викидів: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оксид вуглецю - 1,7813 т/рік, вуглецю діоксид - 711,889 т/рік, метан - 0,017585 т/рік, речовини у вигляді суспендованих твердих частинок, недиференційованих за складом - 0,70817 т/рік, оксиди азоту (у перерахунку на діоксид азоту [NO+NO2]) - 3,11007 т/рік, азоту(1) оксид (N2O) - 0,0106463 т/рік, сірки діоксид - 0,2050084 т/рік, вуглеводні гpаничні С12-С19(розчинник РПК-265 П та інш.) - 0,00093 т/рік.</w:t>
      </w:r>
    </w:p>
    <w:p w14:paraId="220A5B53" w14:textId="77777777" w:rsidR="00184514" w:rsidRPr="00184514" w:rsidRDefault="00184514" w:rsidP="00184514">
      <w:pPr>
        <w:tabs>
          <w:tab w:val="left" w:pos="1200"/>
        </w:tabs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184514">
        <w:rPr>
          <w:rFonts w:eastAsia="MS Mincho"/>
          <w:b/>
          <w:bCs/>
          <w:iCs/>
          <w:noProof/>
          <w:sz w:val="24"/>
          <w:szCs w:val="24"/>
          <w:u w:val="single"/>
          <w:lang w:eastAsia="en-US"/>
        </w:rPr>
        <w:t>Заходи щодо впровадження найкращих існуючих технологій виробництва: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 на підприємстві немає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025E35DB" w14:textId="77777777" w:rsidR="00184514" w:rsidRPr="00184514" w:rsidRDefault="00184514" w:rsidP="00184514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184514">
        <w:rPr>
          <w:rFonts w:eastAsia="Calibri"/>
          <w:b/>
          <w:bCs/>
          <w:sz w:val="24"/>
          <w:szCs w:val="24"/>
          <w:u w:val="single"/>
          <w:lang w:eastAsia="en-US"/>
        </w:rPr>
        <w:t>Перелік заходів щодо скорочення викидів:</w:t>
      </w:r>
      <w:r w:rsidRPr="00184514">
        <w:rPr>
          <w:rFonts w:eastAsia="Calibri"/>
          <w:sz w:val="24"/>
          <w:szCs w:val="24"/>
          <w:lang w:eastAsia="en-US"/>
        </w:rPr>
        <w:t xml:space="preserve"> </w:t>
      </w:r>
      <w:r w:rsidRPr="00184514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Pr="00184514">
        <w:rPr>
          <w:rFonts w:eastAsia="MS Mincho"/>
          <w:noProof/>
          <w:sz w:val="24"/>
          <w:szCs w:val="24"/>
          <w:lang w:eastAsia="en-US"/>
        </w:rPr>
        <w:t>відповідно до законодавства. Заходи щодо скорочення викидів не передбачаються.</w:t>
      </w:r>
    </w:p>
    <w:p w14:paraId="7344B699" w14:textId="77777777" w:rsidR="00184514" w:rsidRPr="00184514" w:rsidRDefault="00184514" w:rsidP="00184514">
      <w:pPr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158636981"/>
      <w:r w:rsidRPr="00184514">
        <w:rPr>
          <w:rFonts w:eastAsia="Calibri"/>
          <w:b/>
          <w:bCs/>
          <w:sz w:val="24"/>
          <w:szCs w:val="24"/>
          <w:u w:val="single"/>
          <w:lang w:eastAsia="en-US"/>
        </w:rPr>
        <w:t>Дотримання виконання природоохоронних заходів щодо скорочення викидів</w:t>
      </w:r>
      <w:r w:rsidRPr="00184514">
        <w:rPr>
          <w:rFonts w:eastAsia="Calibri"/>
          <w:b/>
          <w:bCs/>
          <w:sz w:val="24"/>
          <w:szCs w:val="24"/>
          <w:lang w:eastAsia="en-US"/>
        </w:rPr>
        <w:t>:</w:t>
      </w:r>
      <w:r w:rsidRPr="00184514">
        <w:rPr>
          <w:rFonts w:eastAsia="Calibri"/>
          <w:sz w:val="24"/>
          <w:szCs w:val="24"/>
          <w:lang w:eastAsia="en-US"/>
        </w:rPr>
        <w:t xml:space="preserve"> природоохоронні заходи щодо скорочення викидів забруднюючих речовин для даного підприємства не передбачаються.</w:t>
      </w:r>
      <w:bookmarkEnd w:id="0"/>
    </w:p>
    <w:p w14:paraId="2E1DF396" w14:textId="77777777" w:rsidR="00184514" w:rsidRPr="00184514" w:rsidRDefault="00184514" w:rsidP="00184514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184514">
        <w:rPr>
          <w:rFonts w:eastAsia="Calibri"/>
          <w:b/>
          <w:bCs/>
          <w:sz w:val="24"/>
          <w:szCs w:val="24"/>
          <w:u w:val="single"/>
          <w:lang w:eastAsia="en-US"/>
        </w:rPr>
        <w:t>Відповідність пропозицій щодо дозволених обсягів викидів законодавству:</w:t>
      </w:r>
      <w:r w:rsidRPr="00184514">
        <w:rPr>
          <w:rFonts w:eastAsia="Calibri"/>
          <w:sz w:val="24"/>
          <w:szCs w:val="24"/>
          <w:lang w:eastAsia="en-US"/>
        </w:rPr>
        <w:t xml:space="preserve"> </w:t>
      </w:r>
      <w:r w:rsidRPr="00184514">
        <w:rPr>
          <w:noProof/>
          <w:sz w:val="24"/>
          <w:szCs w:val="24"/>
        </w:rPr>
        <w:t xml:space="preserve">пропозиції щодо дозволених обсягів викидів забруднюючих речовин в атмосферне повітря не </w:t>
      </w:r>
      <w:r w:rsidRPr="00184514">
        <w:rPr>
          <w:noProof/>
          <w:sz w:val="24"/>
          <w:szCs w:val="24"/>
        </w:rPr>
        <w:lastRenderedPageBreak/>
        <w:t>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4E16908A" w14:textId="77777777" w:rsidR="00184514" w:rsidRPr="00184514" w:rsidRDefault="00184514" w:rsidP="00184514">
      <w:pPr>
        <w:pStyle w:val="a9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5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Зауваження та пропозиції громадськості щодо дозволу на викиди:</w:t>
      </w:r>
      <w:r w:rsidRPr="00184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4514">
        <w:rPr>
          <w:rFonts w:ascii="Times New Roman" w:hAnsi="Times New Roman" w:cs="Times New Roman"/>
          <w:bCs/>
          <w:sz w:val="24"/>
          <w:szCs w:val="24"/>
        </w:rPr>
        <w:t>Зауваження громадських організацій та окремих громадян приймаються впродовж 30 календарних днів від дати публікації інформації Львівською обласною військовою адміністрацією – 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98, (032)238-73-83, envir@loda.gov.ua</w:t>
      </w:r>
    </w:p>
    <w:sectPr w:rsidR="00184514" w:rsidRPr="00184514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A5"/>
    <w:rsid w:val="00184514"/>
    <w:rsid w:val="001D52A5"/>
    <w:rsid w:val="00264C97"/>
    <w:rsid w:val="004F6205"/>
    <w:rsid w:val="00571EFE"/>
    <w:rsid w:val="00D4517E"/>
    <w:rsid w:val="00E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FC72-8C87-496C-AB0D-105A61AB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2A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A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A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A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A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A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A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A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A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2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2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2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2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2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2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2A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D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A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D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A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D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A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D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A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D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A5"/>
    <w:rPr>
      <w:b/>
      <w:bCs/>
      <w:smallCaps/>
      <w:color w:val="2F5496" w:themeColor="accent1" w:themeShade="BF"/>
      <w:spacing w:val="5"/>
    </w:rPr>
  </w:style>
  <w:style w:type="character" w:customStyle="1" w:styleId="ae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f"/>
    <w:locked/>
    <w:rsid w:val="00184514"/>
    <w:rPr>
      <w:sz w:val="24"/>
      <w:lang w:eastAsia="ru-RU"/>
    </w:rPr>
  </w:style>
  <w:style w:type="paragraph" w:styleId="af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e"/>
    <w:rsid w:val="00184514"/>
    <w:pPr>
      <w:ind w:firstLine="567"/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18451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Hyperlink"/>
    <w:rsid w:val="00184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_ca@ede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2887</Words>
  <Characters>1646</Characters>
  <Application>Microsoft Office Word</Application>
  <DocSecurity>0</DocSecurity>
  <Lines>13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Acc-sp</cp:lastModifiedBy>
  <cp:revision>2</cp:revision>
  <dcterms:created xsi:type="dcterms:W3CDTF">2025-08-15T12:41:00Z</dcterms:created>
  <dcterms:modified xsi:type="dcterms:W3CDTF">2025-08-15T12:41:00Z</dcterms:modified>
</cp:coreProperties>
</file>