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06893" w:rsidRDefault="009A7A0E">
      <w:pPr>
        <w:ind w:left="581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</w:t>
      </w:r>
    </w:p>
    <w:p w14:paraId="00000002" w14:textId="77777777" w:rsidR="00F06893" w:rsidRDefault="009A7A0E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00000003" w14:textId="77777777" w:rsidR="00F06893" w:rsidRDefault="00F06893">
      <w:pPr>
        <w:jc w:val="both"/>
        <w:rPr>
          <w:sz w:val="28"/>
          <w:szCs w:val="28"/>
        </w:rPr>
      </w:pPr>
    </w:p>
    <w:p w14:paraId="00000004" w14:textId="77777777" w:rsidR="00F06893" w:rsidRDefault="009A7A0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00000005" w14:textId="77777777" w:rsidR="00F06893" w:rsidRDefault="00F06893">
      <w:pPr>
        <w:jc w:val="center"/>
      </w:pPr>
    </w:p>
    <w:p w14:paraId="00000006" w14:textId="77777777" w:rsidR="00F06893" w:rsidRDefault="009A7A0E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опрацювання матеріалів планованої діяльності Товариства з обмеженою відповідальністю «УТІЛЬВТОРПРОМ» (далі – ТОВ «УТІЛЬВТОРПРОМ») «Діяльність у сфері управління відходами (у тому числі небезпечними) ТОВ «УТІЛЬВТОРПРОМ» на промисловому майданчику за адресою: Одеська обл., м. Теплодар, Промзона, 38-А» (реєстраційний номер справи в Єдиному реєстрі з оцінки впливу на довкілля (далі – Реєстр) – 13421) встановлено: </w:t>
      </w:r>
    </w:p>
    <w:p w14:paraId="00000007" w14:textId="77777777" w:rsidR="00F06893" w:rsidRDefault="009A7A0E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 «УТІЛЬВТОРПРОМ» спеціалізується на здійсненні господарської діяльності у сфері управління відходами, у тому числі небезпечними на промисловому майданчику за адресою: Одеська обл., м. Теплодар, </w:t>
      </w:r>
      <w:r>
        <w:rPr>
          <w:sz w:val="28"/>
          <w:szCs w:val="28"/>
        </w:rPr>
        <w:br/>
        <w:t>Промзона, 38-А;</w:t>
      </w:r>
    </w:p>
    <w:p w14:paraId="00000008" w14:textId="77777777" w:rsidR="00F06893" w:rsidRDefault="009A7A0E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промислова діяльність ТОВ «УТІЛЬВТОРПРОМ» здійснюється в частині орендованих нежитлових будівель на підставі договору № 1230 від 17.12.2015 року (з додатковими угодами) між ТОВ ВКА «МАЯКИ» та ТОВ «УТІЛЬВТОРПРОМ», площею 1171,2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(виробничий корпус – 1151,6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прохідна – 19,6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 Дані приміщення являються частиною будівлі, що знаходиться на земельній ділянці за кадастровим номером – 5111500000:02:003:0005. Цільове призначення ділянки – землі промисловості, транспорту, зв’язку, енергетики, оборони та іншого призначення, загальна площа – 3,1318 га;</w:t>
      </w:r>
    </w:p>
    <w:p w14:paraId="00000009" w14:textId="77777777" w:rsidR="00F06893" w:rsidRDefault="009A7A0E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планованої діяльності ТОВ «УТІЛЬВТОРПРОМ» проводитиметься в існуючій орендованій будівлі, яка розташована в межах промислової зони м. Теплодар. Збільшення чи розширення орендованих приміщень чи додаткових земельних площ не передбачається.</w:t>
      </w:r>
    </w:p>
    <w:p w14:paraId="0000000A" w14:textId="77777777" w:rsidR="00F06893" w:rsidRDefault="009A7A0E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існуюча житлова забудова розташована на відстані 3,52 км у східному напрямку у с. Мирне Біляївської міської ради, садівничі товариства (клуби) розташовані на відстані у 2,65 км у північно-східному напрямку м. Теплодар;</w:t>
      </w:r>
    </w:p>
    <w:p w14:paraId="0000000B" w14:textId="77777777" w:rsidR="00F06893" w:rsidRDefault="009A7A0E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 «УТІЛЬВТОРПРОМ» має висновок з оцінки впливу на довкілля щодо планованої діяльності «Діяльність у сфері управління небезпечними відходами підприємства ТОВ «УТІЛЬВТОРПРОМ» на промисловому майданчику за адресою: Одеська обл., м. Теплодар, Промзона, 38-А» від 22.04.2025 </w:t>
      </w:r>
      <w:r>
        <w:rPr>
          <w:sz w:val="28"/>
          <w:szCs w:val="28"/>
        </w:rPr>
        <w:br/>
        <w:t xml:space="preserve">№ 21/01-9393/1, який виданий Міндовкілля. Даною процедурою оцінки впливу на довкілля розглядаються розширення та зміни, включаючи перегляд або </w:t>
      </w:r>
      <w:r>
        <w:rPr>
          <w:sz w:val="28"/>
          <w:szCs w:val="28"/>
        </w:rPr>
        <w:lastRenderedPageBreak/>
        <w:t xml:space="preserve">оновлення умов провадження планованої діяльності, встановлених (затверджених) рішенням про провадження  планованої діяльності. </w:t>
      </w:r>
    </w:p>
    <w:p w14:paraId="0000000C" w14:textId="2457BA96" w:rsidR="00F06893" w:rsidRPr="00D27075" w:rsidRDefault="00D27075">
      <w:pPr>
        <w:tabs>
          <w:tab w:val="left" w:pos="978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A7A0E">
        <w:rPr>
          <w:sz w:val="28"/>
          <w:szCs w:val="28"/>
        </w:rPr>
        <w:t>ерелік небезпечних відходів та плановані операції щодо управління ними наведені в таблиці 1.7 звіту з оцінки впливу на довкілля (далі – Звіт з ОВД)</w:t>
      </w:r>
      <w:r>
        <w:rPr>
          <w:sz w:val="28"/>
          <w:szCs w:val="28"/>
          <w:lang w:val="uk-UA"/>
        </w:rPr>
        <w:t>.</w:t>
      </w:r>
    </w:p>
    <w:p w14:paraId="0000000D" w14:textId="4327FB46" w:rsidR="00F06893" w:rsidRDefault="00D27075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9A7A0E">
        <w:rPr>
          <w:sz w:val="28"/>
          <w:szCs w:val="28"/>
        </w:rPr>
        <w:t>ерелік відходів, що не є небезпечними та плановані операції щодо управління ними наведені в таблиці 1.8 Звіту з ОВД.</w:t>
      </w:r>
    </w:p>
    <w:p w14:paraId="0000000E" w14:textId="77777777" w:rsidR="00F06893" w:rsidRDefault="009A7A0E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«Про оцінку впливу на довкілля» </w:t>
      </w:r>
      <w:r>
        <w:rPr>
          <w:sz w:val="28"/>
          <w:szCs w:val="28"/>
        </w:rPr>
        <w:br/>
        <w:t xml:space="preserve">(далі – Закон) та Порядку передачі документації для надання висновку з оцінки </w:t>
      </w:r>
      <w:r>
        <w:rPr>
          <w:sz w:val="28"/>
          <w:szCs w:val="28"/>
        </w:rPr>
        <w:br/>
        <w:t xml:space="preserve">впливу на довкілля та фінансування оцінки впливу на довкілля, затвердженого постановою Кабінету Міністрів України від 13.12.2017 № 1026 (далі – Порядок) суб’єкт господарювання передає уповноваженому центральному органу документацію для надання висновку з оцінки впливу на довкілля. </w:t>
      </w:r>
    </w:p>
    <w:p w14:paraId="0000000F" w14:textId="77777777" w:rsidR="00F06893" w:rsidRDefault="009A7A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опрацювання матеріалів встановлено, що наявна інформація та наведені у Звіті з ОВД дані з оцінки впливу планованої діяльності ТОВ «УТІЛЬВТОРПРОМ» зі здійснення діяльності у сфері управління відходами (у тому числі небезпечними) на промисловому майданчику за адресою: Одеська обл., м. Теплодар, Промзона, 38-А на фактори довкілля не відповідають вимогам частини другої статті 6 Закону, не дають можливості в повній мірі оцінити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а також визначити екологічні умови її провадження.</w:t>
      </w:r>
    </w:p>
    <w:p w14:paraId="00000010" w14:textId="7C495264" w:rsidR="00F06893" w:rsidRDefault="009A7A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на підставі пункт</w:t>
      </w:r>
      <w:r w:rsidR="00996F6D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3 частини першої статті 9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Закону, а саме: невідповідністю поданих документів вимогам законодавства про охорону навколишнього середовища та/або вимогам законодавства в інших сферах, відмовляємо у видачі висновку з оцінки впливу на довкілля ТОВ «УТІЛЬВТОРПРОМ»:</w:t>
      </w:r>
    </w:p>
    <w:p w14:paraId="00000011" w14:textId="77777777" w:rsidR="00F06893" w:rsidRPr="00996F6D" w:rsidRDefault="00F06893">
      <w:pPr>
        <w:ind w:firstLine="567"/>
        <w:jc w:val="both"/>
        <w:rPr>
          <w:szCs w:val="12"/>
        </w:rPr>
      </w:pPr>
    </w:p>
    <w:p w14:paraId="00000012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Відповідно до вимог абзацу четвертого пункту 5 частини другої статті 6 Закону, Звіт з ОВД має включати,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–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зумовленого, крім іншого здійсненням операцій у сфері управління відходами.</w:t>
      </w:r>
    </w:p>
    <w:p w14:paraId="00000013" w14:textId="5E9F13F2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Проаналізувавши інформацію наведену у Звіті з ОВД, вбачається </w:t>
      </w:r>
      <w:r>
        <w:rPr>
          <w:sz w:val="28"/>
          <w:szCs w:val="28"/>
        </w:rPr>
        <w:t>невідповідніст</w:t>
      </w:r>
      <w:r w:rsidR="00311297"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поданих документів вимогам законодавства про охорону навколишнього середовища та/або вимогам законодавства в інших сферах, у зв’язку із чим, визначення допустимості впливу планованої діяльності на довкілля</w:t>
      </w:r>
      <w:r>
        <w:rPr>
          <w:color w:val="000000"/>
          <w:sz w:val="28"/>
          <w:szCs w:val="28"/>
        </w:rPr>
        <w:t xml:space="preserve"> зумовленого здійсненням операцій у сфері управління відходами не є можливим з огляду на нижче наведене.</w:t>
      </w:r>
    </w:p>
    <w:p w14:paraId="00000014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1.1. Відповідно до вимог абзацу дев’ятого пункту 14 Порядку збирання, перевезення, зберігання, оброблення (перероблення), утилізації та/або знешкодження відпрацьованих мастил (олив), затвердженого постановою Кабінету Міністрів України від 17.12.2012 № 1221, суб’єкти господарювання, які провадять діяльність у сфері поводження з небезпечними відходами, вживають заходів до недопущення видалення відпрацьованих мастил (олив) шляхом їх спалювання.</w:t>
      </w:r>
    </w:p>
    <w:p w14:paraId="00000015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Однак, у порушення вищевказаної норми, з інформації наведеної у Звіті з ОВД, вбачається, що під час здійснення суб’єктом господарювання планованої діяльності передбачається видалення відпрацьованих мастил (олив) шляхом їх спалювання.</w:t>
      </w:r>
    </w:p>
    <w:p w14:paraId="00000016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відповідно до таблиці 1.7 Звіту з ОВД, вбачається, що суб’єкт господарювання планує застосовувати операцію з видалення відходів за кодом D 10 – спалювання на суші щодо таких видів відходів, які належать до відпрацьованих мастил (олив):</w:t>
      </w:r>
    </w:p>
    <w:p w14:paraId="00000017" w14:textId="77777777" w:rsidR="00F06893" w:rsidRDefault="009A7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01 06* – мастильно-охолоджувальні рідини на мінеральній основі для машинного оброблення, що містять галогени (крім емульсій та розчинів); </w:t>
      </w:r>
    </w:p>
    <w:p w14:paraId="00000018" w14:textId="77777777" w:rsidR="00F06893" w:rsidRDefault="009A7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01 07* – мастильно-охолоджувальні рідини на мінеральній основі для машинного оброблення, що не містять галогенів (крім емульсій та розчинів); </w:t>
      </w:r>
    </w:p>
    <w:p w14:paraId="00000019" w14:textId="77777777" w:rsidR="00F06893" w:rsidRDefault="009A7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01 10* – синтетичні мастильно-охолоджувальні рідини для машинного оброблення; </w:t>
      </w:r>
    </w:p>
    <w:p w14:paraId="0000001A" w14:textId="77777777" w:rsidR="00F06893" w:rsidRDefault="009A7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01 12* – відпрацьовані воскові маси та мастила; </w:t>
      </w:r>
    </w:p>
    <w:p w14:paraId="0000001B" w14:textId="77777777" w:rsidR="00F06893" w:rsidRDefault="009A7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 04 17* – смолисті оливи/каніфольна олія; </w:t>
      </w:r>
    </w:p>
    <w:p w14:paraId="0000001C" w14:textId="77777777" w:rsidR="00F06893" w:rsidRDefault="009A7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 03 19* – дисперсні оливи.</w:t>
      </w:r>
    </w:p>
    <w:p w14:paraId="0000001D" w14:textId="77777777" w:rsidR="00F06893" w:rsidRDefault="00F06893">
      <w:pPr>
        <w:ind w:firstLine="567"/>
        <w:jc w:val="both"/>
        <w:rPr>
          <w:color w:val="000000"/>
          <w:sz w:val="12"/>
          <w:szCs w:val="12"/>
        </w:rPr>
      </w:pPr>
    </w:p>
    <w:p w14:paraId="0000001E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 додатку 28 до Звіту з ОВД надається Технічний паспорт установки для термічного знищення відходів УТ3000Д, відповідно до пункту 2.1 якого, вбачається, що утилізатор термічний не призначений для знищення ртутьвмісних відходів.</w:t>
      </w:r>
    </w:p>
    <w:p w14:paraId="0000001F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Однак, всупереч вищевказаним технологічним вимогам установки, вбачається, що суб’єктом господарювання передбачається застосовувати операцію з видалення за кодом D 10 – спалювання на суші щодо виду відходу, який містить у собі ртуть – 18 01 10* – відходи амальгам для стоматологічних цілей.</w:t>
      </w:r>
    </w:p>
    <w:p w14:paraId="00000020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Інформація щодо наявності у ТОВ «УТІЛЬВТОРПРОМ» демеркуризаційної установки, яка б передбачала безпечне видалення ртутьвмісних відходів у Звіті з ОВД відсутня.</w:t>
      </w:r>
    </w:p>
    <w:p w14:paraId="00000021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Враховуючи наведене вище, вбачається, що суб’єктом господарювання планується здійснювати діяльність всупереч вимогам технологічного паспорту обладнання, що використовується.</w:t>
      </w:r>
    </w:p>
    <w:p w14:paraId="00000026" w14:textId="77777777" w:rsidR="00F06893" w:rsidRDefault="00F068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2"/>
          <w:szCs w:val="12"/>
        </w:rPr>
      </w:pPr>
    </w:p>
    <w:p w14:paraId="00000027" w14:textId="35AEB421" w:rsidR="00F06893" w:rsidRDefault="009A7A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51DF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 Пунктом 1 частини першої статті 44 Закону України «Про управління відходами» визначено, що до господарської діяльності з управління небезпечними відходами належить комплекс операцій із збирання та оброблення небезпечних відходів.</w:t>
      </w:r>
    </w:p>
    <w:p w14:paraId="00000028" w14:textId="77777777" w:rsidR="00F06893" w:rsidRDefault="009A7A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свою чергу, відповідно до таблиці 1.7 Звіту з ОВД, вбачається, що суб’єктом господарювання не визначено кінцевих операцій з видалення чи відновлення небезпечних відходів, що наведені в 6 та 11 рядках таблиці, а також таких видів відходів, як металева упаковка, що містить тверду пористу матрицю із небезпечних речовин (наприклад, азбесту), включаючи пусті газові балони (15 01 11*) та відходи металів, забруднені небезпечними речовинами (16 12 20*), що свідчить про відсутність комплексу операцій із збирання та оброблення даних небезпечних відходів у запланованих рішеннях суб’єкта господарювання.  </w:t>
      </w:r>
    </w:p>
    <w:p w14:paraId="00000029" w14:textId="77777777" w:rsidR="00F06893" w:rsidRDefault="00F06893">
      <w:pPr>
        <w:ind w:firstLine="567"/>
        <w:jc w:val="both"/>
        <w:rPr>
          <w:color w:val="000000"/>
          <w:sz w:val="12"/>
          <w:szCs w:val="12"/>
        </w:rPr>
      </w:pPr>
    </w:p>
    <w:p w14:paraId="0000002A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Відповідно до вимог абзацу четвертого пункту 5 частини другої статті 6 Закону, Звіт з ОВД має включати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–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зумовленого, крім іншого, викидами та скидами забруднюючих речовин.</w:t>
      </w:r>
    </w:p>
    <w:p w14:paraId="0000002B" w14:textId="557A3CCD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з вимогами частини шостої статті 44 Закону України «Про управління відходами», матеріально-технічна база здобувача ліцензії повинна відповідати технологічним вимогам до здійснення господарської діяльності з управління небезпечними відходами, правилам технічної </w:t>
      </w:r>
      <w:r w:rsidR="00961E1C">
        <w:rPr>
          <w:color w:val="000000"/>
          <w:sz w:val="28"/>
          <w:szCs w:val="28"/>
        </w:rPr>
        <w:t>експлуатації</w:t>
      </w:r>
      <w:r>
        <w:rPr>
          <w:color w:val="000000"/>
          <w:sz w:val="28"/>
          <w:szCs w:val="28"/>
        </w:rPr>
        <w:t xml:space="preserve"> установок та технологічним регламентам.</w:t>
      </w:r>
    </w:p>
    <w:p w14:paraId="0000002C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Пунктом 7 частини першої статті 57 Закону України «Про управління відходами» визначено, що порушенням законодавства у сфері управління відходами є порушення встановлених правил і режиму експлуатації установок та виробництв з оброблення відходів, полігонів для захоронення відходів.</w:t>
      </w:r>
    </w:p>
    <w:p w14:paraId="0000002D" w14:textId="60A4650A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Наразі є чинними Правила технічної експлуатації установок із спалювання відходів та установок із сумісного спалювання відходів, затверджені наказом Міністерства захисту довкілля та природних ресурсів України від 25.04.2025 № 856, зареєстровани</w:t>
      </w:r>
      <w:r w:rsidR="001C2DF8">
        <w:rPr>
          <w:color w:val="000000"/>
          <w:sz w:val="28"/>
          <w:szCs w:val="28"/>
          <w:lang w:val="uk-UA"/>
        </w:rPr>
        <w:t>ми</w:t>
      </w:r>
      <w:r>
        <w:rPr>
          <w:color w:val="000000"/>
          <w:sz w:val="28"/>
          <w:szCs w:val="28"/>
        </w:rPr>
        <w:t xml:space="preserve"> у Міністерстві юстиції України 20.06.2025 за № 962/44368 (далі – Правила технічної експлуатації).</w:t>
      </w:r>
    </w:p>
    <w:p w14:paraId="0000002E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Правилами технічної експлуатації, крім іншого, встановлені нормативи гранично допустимих викидів забруднюючих речовин в атмосферне повітря для установок спалювання відходів.</w:t>
      </w:r>
    </w:p>
    <w:p w14:paraId="0000002F" w14:textId="2EECBBCE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Проте, Звіт з ОВД не містить опису відповідності планованої діяльності Правилам технічної експлуатації, а наявна інформаціє не дає можливості встановити, чи заплановані суб’єктом господарювання рішення щодо планованої діяльності</w:t>
      </w:r>
      <w:r w:rsidR="00544FB3">
        <w:rPr>
          <w:color w:val="000000"/>
          <w:sz w:val="28"/>
          <w:szCs w:val="28"/>
          <w:lang w:val="uk-UA"/>
        </w:rPr>
        <w:t>, які</w:t>
      </w:r>
      <w:r>
        <w:rPr>
          <w:color w:val="000000"/>
          <w:sz w:val="28"/>
          <w:szCs w:val="28"/>
        </w:rPr>
        <w:t xml:space="preserve"> відповідатимуть нормативам гранично допустимих викидів забруднюючих речовин в атмосферне повітря для установок спалювання відходів, оскільки Звіт з ОВД не містить показників викиду забруднюючих речовин в атмосферне повітря у значеннях мг/м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.</w:t>
      </w:r>
    </w:p>
    <w:p w14:paraId="00000030" w14:textId="77777777" w:rsidR="00F06893" w:rsidRDefault="009A7A0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зв’язку із вищевикладеним, визначення допустимості впливу планованої діяльності на атмосферне повітря не є можливим.</w:t>
      </w:r>
    </w:p>
    <w:p w14:paraId="00000031" w14:textId="77777777" w:rsidR="00F06893" w:rsidRDefault="00F06893">
      <w:pPr>
        <w:ind w:firstLine="567"/>
        <w:jc w:val="both"/>
        <w:rPr>
          <w:sz w:val="12"/>
          <w:szCs w:val="12"/>
        </w:rPr>
      </w:pPr>
    </w:p>
    <w:p w14:paraId="00000032" w14:textId="77777777" w:rsidR="00F06893" w:rsidRDefault="009A7A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Окремо зазначаємо, що в рамках консультацій щодо Звіту з ОВД з іншими органами виконавчої влади, що передбачені пунктом 6 частини першої статті 2 Закону, до Міндовкілля надійшли зауваження і пропозиції від Державного агентства водних ресурсів України (лист від 04.08.2025 № 4342/5/4/11-25) та Державної служби України з питань безпечності харчових продуктів та захисту споживачів (лист від 19.08.2025 № 12-15/21017), які потребують врахування при здійсненні повторної процедури оцінки впливу на довкілля.</w:t>
      </w:r>
    </w:p>
    <w:p w14:paraId="00000033" w14:textId="77777777" w:rsidR="00F06893" w:rsidRDefault="009A7A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sectPr w:rsidR="00F06893">
      <w:headerReference w:type="default" r:id="rId8"/>
      <w:pgSz w:w="11906" w:h="16838"/>
      <w:pgMar w:top="1134" w:right="567" w:bottom="1560" w:left="1701" w:header="45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D5B39" w14:textId="77777777" w:rsidR="00E267B0" w:rsidRDefault="00E267B0">
      <w:r>
        <w:separator/>
      </w:r>
    </w:p>
  </w:endnote>
  <w:endnote w:type="continuationSeparator" w:id="0">
    <w:p w14:paraId="5211A760" w14:textId="77777777" w:rsidR="00E267B0" w:rsidRDefault="00E2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EB5B8" w14:textId="77777777" w:rsidR="00E267B0" w:rsidRDefault="00E267B0">
      <w:r>
        <w:separator/>
      </w:r>
    </w:p>
  </w:footnote>
  <w:footnote w:type="continuationSeparator" w:id="0">
    <w:p w14:paraId="3B33369C" w14:textId="77777777" w:rsidR="00E267B0" w:rsidRDefault="00E26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4" w14:textId="77777777" w:rsidR="00F06893" w:rsidRDefault="009A7A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4BBF">
      <w:rPr>
        <w:noProof/>
        <w:color w:val="000000"/>
      </w:rPr>
      <w:t>5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A0583"/>
    <w:multiLevelType w:val="multilevel"/>
    <w:tmpl w:val="26AA9E7A"/>
    <w:lvl w:ilvl="0">
      <w:start w:val="1"/>
      <w:numFmt w:val="bullet"/>
      <w:lvlText w:val="­"/>
      <w:lvlJc w:val="left"/>
      <w:pPr>
        <w:ind w:left="128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93"/>
    <w:rsid w:val="001C0C04"/>
    <w:rsid w:val="001C2DF8"/>
    <w:rsid w:val="001D5675"/>
    <w:rsid w:val="00311297"/>
    <w:rsid w:val="003E4BBF"/>
    <w:rsid w:val="00544FB3"/>
    <w:rsid w:val="00891760"/>
    <w:rsid w:val="00961E1C"/>
    <w:rsid w:val="00996F6D"/>
    <w:rsid w:val="009A7A0E"/>
    <w:rsid w:val="00CE1720"/>
    <w:rsid w:val="00D27075"/>
    <w:rsid w:val="00E267B0"/>
    <w:rsid w:val="00EE51DF"/>
    <w:rsid w:val="00F06893"/>
    <w:rsid w:val="00F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31DE8-6E22-4806-A1D1-FD798FD3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pPr>
      <w:keepNext/>
      <w:ind w:firstLine="459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30">
    <w:name w:val="Body Text Indent 3"/>
    <w:rsid w:val="00A54F28"/>
    <w:pPr>
      <w:ind w:firstLine="851"/>
      <w:jc w:val="both"/>
    </w:pPr>
    <w:rPr>
      <w:sz w:val="28"/>
      <w:szCs w:val="20"/>
    </w:rPr>
  </w:style>
  <w:style w:type="paragraph" w:styleId="a4">
    <w:name w:val="Body Text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5">
    <w:name w:val="Body Text Indent"/>
    <w:rsid w:val="00A54F28"/>
    <w:pPr>
      <w:ind w:right="-128" w:firstLine="540"/>
      <w:jc w:val="both"/>
    </w:pPr>
    <w:rPr>
      <w:sz w:val="28"/>
    </w:rPr>
  </w:style>
  <w:style w:type="table" w:styleId="a6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956F94"/>
    <w:rPr>
      <w:b/>
      <w:bCs/>
    </w:rPr>
  </w:style>
  <w:style w:type="paragraph" w:styleId="a8">
    <w:name w:val="header"/>
    <w:link w:val="a9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a">
    <w:name w:val="page number"/>
    <w:basedOn w:val="a0"/>
    <w:rsid w:val="00D4260E"/>
  </w:style>
  <w:style w:type="paragraph" w:styleId="ab">
    <w:name w:val="Balloon Text"/>
    <w:semiHidden/>
    <w:rsid w:val="00155E41"/>
    <w:rPr>
      <w:rFonts w:ascii="Tahoma" w:hAnsi="Tahoma" w:cs="Tahoma"/>
      <w:sz w:val="16"/>
      <w:szCs w:val="16"/>
    </w:rPr>
  </w:style>
  <w:style w:type="paragraph" w:styleId="ac">
    <w:name w:val="footer"/>
    <w:link w:val="ad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d">
    <w:name w:val="Нижний колонтитул Знак"/>
    <w:link w:val="ac"/>
    <w:rsid w:val="005509BB"/>
    <w:rPr>
      <w:sz w:val="24"/>
      <w:szCs w:val="24"/>
      <w:lang w:eastAsia="ru-RU"/>
    </w:rPr>
  </w:style>
  <w:style w:type="character" w:styleId="ae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f">
    <w:name w:val="No Spacing"/>
    <w:uiPriority w:val="1"/>
    <w:qFormat/>
    <w:rsid w:val="00C15EFB"/>
    <w:rPr>
      <w:rFonts w:ascii="Calibri" w:eastAsia="Calibri" w:hAnsi="Calibri"/>
      <w:lang w:val="en-US" w:eastAsia="en-US"/>
    </w:rPr>
  </w:style>
  <w:style w:type="paragraph" w:styleId="af0">
    <w:name w:val="List Paragraph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rsid w:val="0016423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rsid w:val="00164235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rsid w:val="00E25BFB"/>
    <w:pPr>
      <w:spacing w:before="100" w:beforeAutospacing="1" w:after="100" w:afterAutospacing="1"/>
    </w:pPr>
  </w:style>
  <w:style w:type="paragraph" w:customStyle="1" w:styleId="rvps2">
    <w:name w:val="rvps2"/>
    <w:rsid w:val="00C62295"/>
    <w:pPr>
      <w:spacing w:before="100" w:beforeAutospacing="1" w:after="100" w:afterAutospacing="1"/>
    </w:p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1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link w:val="af1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</w:rPr>
  </w:style>
  <w:style w:type="character" w:customStyle="1" w:styleId="22">
    <w:name w:val="Незакрита згадка2"/>
    <w:basedOn w:val="a0"/>
    <w:uiPriority w:val="99"/>
    <w:semiHidden/>
    <w:unhideWhenUsed/>
    <w:rsid w:val="00F80875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26MDU0J1aa2KsGPduKjQLRav7A==">CgMxLjA4AHIhMTk4QjFRSURmLXU3Y09pWUNaaEh4bU4yRlhzVDhzODEy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Кухта Андрій Володимирович</dc:creator>
  <cp:lastModifiedBy>ВОВА</cp:lastModifiedBy>
  <cp:revision>2</cp:revision>
  <cp:lastPrinted>2025-09-04T08:33:00Z</cp:lastPrinted>
  <dcterms:created xsi:type="dcterms:W3CDTF">2025-09-10T16:46:00Z</dcterms:created>
  <dcterms:modified xsi:type="dcterms:W3CDTF">2025-09-10T16:46:00Z</dcterms:modified>
</cp:coreProperties>
</file>